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150" w:beforeLines="0" w:beforeAutospacing="0" w:after="0" w:afterLines="0" w:afterAutospacing="0" w:line="560" w:lineRule="exact"/>
        <w:ind w:left="0" w:leftChars="0" w:right="0" w:rightChars="0" w:firstLine="440" w:firstLineChars="100"/>
        <w:jc w:val="center"/>
        <w:textAlignment w:val="auto"/>
        <w:outlineLvl w:val="9"/>
        <w:rPr>
          <w:rFonts w:hint="eastAsia" w:ascii="方正小标宋简体" w:hAnsi="方正小标宋简体" w:eastAsia="方正小标宋简体" w:cs="方正小标宋简体"/>
          <w:color w:val="auto"/>
          <w:sz w:val="44"/>
          <w:szCs w:val="44"/>
          <w:shd w:val="clear" w:color="auto" w:fill="FFFFFF"/>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150" w:beforeLines="0" w:beforeAutospacing="0" w:after="0" w:afterLines="0" w:afterAutospacing="0" w:line="560" w:lineRule="exact"/>
        <w:ind w:left="0" w:leftChars="0" w:right="0" w:rightChars="0" w:firstLine="440" w:firstLineChars="100"/>
        <w:jc w:val="center"/>
        <w:textAlignment w:val="auto"/>
        <w:outlineLvl w:val="9"/>
        <w:rPr>
          <w:rFonts w:hint="eastAsia" w:ascii="方正小标宋简体" w:hAnsi="方正小标宋简体" w:eastAsia="方正小标宋简体" w:cs="方正小标宋简体"/>
          <w:color w:val="auto"/>
          <w:sz w:val="44"/>
          <w:szCs w:val="44"/>
          <w:shd w:val="clear" w:color="auto" w:fill="FFFFFF"/>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150" w:beforeLines="0" w:beforeAutospacing="0" w:after="0" w:afterLines="0" w:afterAutospacing="0" w:line="560" w:lineRule="exact"/>
        <w:ind w:left="0" w:leftChars="0" w:right="0" w:rightChars="0" w:firstLine="440" w:firstLineChars="100"/>
        <w:jc w:val="center"/>
        <w:textAlignment w:val="auto"/>
        <w:outlineLvl w:val="9"/>
        <w:rPr>
          <w:rFonts w:hint="eastAsia" w:ascii="方正小标宋简体" w:hAnsi="方正小标宋简体" w:eastAsia="方正小标宋简体" w:cs="方正小标宋简体"/>
          <w:color w:val="auto"/>
          <w:sz w:val="44"/>
          <w:szCs w:val="44"/>
          <w:shd w:val="clear" w:color="auto" w:fill="FFFFFF"/>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150" w:beforeLines="0" w:beforeAutospacing="0" w:after="0" w:afterLines="0" w:afterAutospacing="0" w:line="560" w:lineRule="exact"/>
        <w:ind w:left="0" w:leftChars="0" w:right="0" w:rightChars="0" w:firstLine="440" w:firstLineChars="100"/>
        <w:jc w:val="center"/>
        <w:textAlignment w:val="auto"/>
        <w:outlineLvl w:val="9"/>
        <w:rPr>
          <w:rFonts w:hint="eastAsia" w:ascii="方正小标宋简体" w:hAnsi="方正小标宋简体" w:eastAsia="方正小标宋简体" w:cs="方正小标宋简体"/>
          <w:color w:val="auto"/>
          <w:sz w:val="44"/>
          <w:szCs w:val="44"/>
          <w:shd w:val="clear" w:color="auto" w:fill="FFFFFF"/>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150" w:beforeLines="0" w:beforeAutospacing="0" w:after="0" w:afterLines="0" w:afterAutospacing="0" w:line="560" w:lineRule="exact"/>
        <w:ind w:left="0" w:leftChars="0" w:right="0" w:rightChars="0" w:firstLine="440" w:firstLineChars="100"/>
        <w:jc w:val="center"/>
        <w:textAlignment w:val="auto"/>
        <w:outlineLvl w:val="9"/>
        <w:rPr>
          <w:rFonts w:hint="eastAsia" w:ascii="方正小标宋简体" w:hAnsi="方正小标宋简体" w:eastAsia="方正小标宋简体" w:cs="方正小标宋简体"/>
          <w:color w:val="auto"/>
          <w:sz w:val="44"/>
          <w:szCs w:val="44"/>
          <w:shd w:val="clear" w:color="auto" w:fill="FFFFFF"/>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150" w:beforeLines="0" w:beforeAutospacing="0" w:after="0" w:afterLines="0" w:afterAutospacing="0" w:line="560" w:lineRule="exact"/>
        <w:ind w:left="0" w:leftChars="0" w:right="0" w:rightChars="0" w:firstLine="440" w:firstLineChars="100"/>
        <w:jc w:val="center"/>
        <w:textAlignment w:val="auto"/>
        <w:outlineLvl w:val="9"/>
        <w:rPr>
          <w:rFonts w:hint="eastAsia" w:ascii="方正小标宋简体" w:hAnsi="方正小标宋简体" w:eastAsia="方正小标宋简体" w:cs="方正小标宋简体"/>
          <w:color w:val="auto"/>
          <w:sz w:val="44"/>
          <w:szCs w:val="44"/>
          <w:shd w:val="clear" w:color="auto" w:fill="FFFFFF"/>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150" w:beforeLines="0" w:beforeAutospacing="0" w:after="0" w:afterLines="0" w:afterAutospacing="0" w:line="560" w:lineRule="exact"/>
        <w:ind w:left="0" w:leftChars="0" w:right="0" w:rightChars="0" w:firstLine="440" w:firstLineChars="10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shd w:val="clear" w:color="auto" w:fill="FFFFFF"/>
          <w:lang w:eastAsia="zh-CN"/>
        </w:rPr>
        <w:t>中卫市沙坡头区柔远镇</w:t>
      </w:r>
      <w:r>
        <w:rPr>
          <w:rFonts w:hint="eastAsia" w:ascii="方正小标宋简体" w:hAnsi="方正小标宋简体" w:eastAsia="方正小标宋简体" w:cs="方正小标宋简体"/>
          <w:color w:val="auto"/>
          <w:sz w:val="44"/>
          <w:szCs w:val="44"/>
          <w:shd w:val="clear" w:color="auto" w:fill="FFFFFF"/>
        </w:rPr>
        <w:t>规范行政裁量权</w:t>
      </w:r>
      <w:r>
        <w:rPr>
          <w:rFonts w:hint="eastAsia" w:ascii="方正小标宋简体" w:hAnsi="方正小标宋简体" w:eastAsia="方正小标宋简体" w:cs="方正小标宋简体"/>
          <w:color w:val="auto"/>
          <w:sz w:val="44"/>
          <w:szCs w:val="44"/>
          <w:shd w:val="clear" w:color="auto" w:fill="FFFFFF"/>
          <w:lang w:eastAsia="zh-CN"/>
        </w:rPr>
        <w:t>规则</w:t>
      </w:r>
    </w:p>
    <w:p>
      <w:pPr>
        <w:pStyle w:val="4"/>
        <w:widowControl/>
        <w:shd w:val="clear" w:color="auto" w:fill="FFFFFF"/>
        <w:spacing w:before="150" w:beforeLines="0" w:beforeAutospacing="0" w:after="0" w:afterLines="0" w:afterAutospacing="0" w:line="495" w:lineRule="atLeast"/>
        <w:ind w:left="0" w:leftChars="0" w:firstLine="880" w:firstLineChars="200"/>
        <w:jc w:val="center"/>
        <w:rPr>
          <w:rFonts w:hint="eastAsia" w:ascii="方正小标宋简体" w:hAnsi="方正小标宋简体" w:eastAsia="方正小标宋简体" w:cs="方正小标宋简体"/>
          <w:color w:val="auto"/>
          <w:sz w:val="44"/>
          <w:szCs w:val="44"/>
          <w:shd w:val="clear" w:color="auto" w:fill="FFFFFF"/>
        </w:rPr>
      </w:pPr>
      <w:bookmarkStart w:id="0" w:name="_Toc9067"/>
    </w:p>
    <w:p>
      <w:pPr>
        <w:pStyle w:val="4"/>
        <w:widowControl/>
        <w:shd w:val="clear" w:color="auto" w:fill="FFFFFF"/>
        <w:spacing w:before="150" w:beforeLines="0" w:beforeAutospacing="0" w:after="0" w:afterLines="0" w:afterAutospacing="0" w:line="495" w:lineRule="atLeast"/>
        <w:ind w:left="0" w:leftChars="0" w:firstLine="880" w:firstLineChars="200"/>
        <w:jc w:val="center"/>
        <w:rPr>
          <w:rFonts w:hint="eastAsia" w:ascii="方正小标宋简体" w:hAnsi="方正小标宋简体" w:eastAsia="方正小标宋简体" w:cs="方正小标宋简体"/>
          <w:color w:val="auto"/>
          <w:sz w:val="44"/>
          <w:szCs w:val="44"/>
          <w:shd w:val="clear" w:color="auto" w:fill="FFFFFF"/>
        </w:rPr>
      </w:pPr>
    </w:p>
    <w:p>
      <w:pPr>
        <w:pStyle w:val="4"/>
        <w:widowControl/>
        <w:shd w:val="clear" w:color="auto" w:fill="FFFFFF"/>
        <w:spacing w:before="150" w:beforeLines="0" w:beforeAutospacing="0" w:after="0" w:afterLines="0" w:afterAutospacing="0" w:line="495" w:lineRule="atLeast"/>
        <w:ind w:left="0" w:leftChars="0" w:firstLine="0" w:firstLineChars="0"/>
        <w:jc w:val="both"/>
        <w:rPr>
          <w:rFonts w:hint="eastAsia" w:ascii="方正小标宋简体" w:hAnsi="方正小标宋简体" w:eastAsia="方正小标宋简体" w:cs="方正小标宋简体"/>
          <w:color w:val="auto"/>
          <w:sz w:val="44"/>
          <w:szCs w:val="44"/>
          <w:shd w:val="clear" w:color="auto" w:fill="FFFFFF"/>
        </w:rPr>
      </w:pPr>
    </w:p>
    <w:p>
      <w:pPr>
        <w:pStyle w:val="4"/>
        <w:widowControl/>
        <w:shd w:val="clear" w:color="auto" w:fill="FFFFFF"/>
        <w:spacing w:before="150" w:beforeLines="0" w:beforeAutospacing="0" w:after="0" w:afterLines="0" w:afterAutospacing="0" w:line="495" w:lineRule="atLeast"/>
        <w:ind w:left="0" w:leftChars="0" w:firstLine="880" w:firstLineChars="200"/>
        <w:jc w:val="center"/>
        <w:rPr>
          <w:rFonts w:hint="eastAsia" w:ascii="方正小标宋简体" w:hAnsi="方正小标宋简体" w:eastAsia="方正小标宋简体" w:cs="方正小标宋简体"/>
          <w:color w:val="auto"/>
          <w:sz w:val="44"/>
          <w:szCs w:val="44"/>
          <w:shd w:val="clear" w:color="auto" w:fill="FFFFFF"/>
        </w:rPr>
      </w:pPr>
    </w:p>
    <w:p>
      <w:pPr>
        <w:pStyle w:val="4"/>
        <w:widowControl/>
        <w:shd w:val="clear" w:color="auto" w:fill="FFFFFF"/>
        <w:spacing w:before="150" w:beforeLines="0" w:beforeAutospacing="0" w:after="0" w:afterLines="0" w:afterAutospacing="0" w:line="495" w:lineRule="atLeast"/>
        <w:ind w:left="0" w:leftChars="0" w:firstLine="880" w:firstLineChars="200"/>
        <w:jc w:val="center"/>
        <w:rPr>
          <w:rFonts w:hint="eastAsia" w:ascii="方正小标宋简体" w:hAnsi="方正小标宋简体" w:eastAsia="方正小标宋简体" w:cs="方正小标宋简体"/>
          <w:color w:val="auto"/>
          <w:sz w:val="44"/>
          <w:szCs w:val="44"/>
          <w:shd w:val="clear" w:color="auto" w:fill="FFFFFF"/>
        </w:rPr>
        <w:sectPr>
          <w:pgSz w:w="16838" w:h="11906" w:orient="landscape"/>
          <w:pgMar w:top="1800" w:right="1440" w:bottom="1800" w:left="1440" w:header="851" w:footer="992" w:gutter="0"/>
          <w:pgNumType w:fmt="numberInDash"/>
          <w:cols w:space="425" w:num="1"/>
          <w:docGrid w:type="lines" w:linePitch="312" w:charSpace="0"/>
        </w:sectPr>
      </w:pPr>
    </w:p>
    <w:p>
      <w:pPr>
        <w:pStyle w:val="4"/>
        <w:widowControl/>
        <w:shd w:val="clear" w:color="auto" w:fill="FFFFFF"/>
        <w:spacing w:before="150" w:beforeLines="0" w:beforeAutospacing="0" w:after="0" w:afterLines="0" w:afterAutospacing="0" w:line="495" w:lineRule="atLeast"/>
        <w:ind w:left="0" w:leftChars="0" w:firstLine="880" w:firstLineChars="200"/>
        <w:jc w:val="center"/>
        <w:rPr>
          <w:rFonts w:hint="eastAsia" w:ascii="方正小标宋_GBK" w:hAnsi="方正小标宋_GBK" w:eastAsia="方正小标宋_GBK" w:cs="方正小标宋_GBK"/>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行政征收裁量权细化标准（共1项）</w:t>
      </w:r>
      <w:bookmarkEnd w:id="0"/>
    </w:p>
    <w:tbl>
      <w:tblPr>
        <w:tblStyle w:val="7"/>
        <w:tblpPr w:leftFromText="180" w:rightFromText="180" w:vertAnchor="text" w:horzAnchor="page" w:tblpX="824" w:tblpY="697"/>
        <w:tblOverlap w:val="never"/>
        <w:tblW w:w="14847" w:type="dxa"/>
        <w:tblCellSpacing w:w="0" w:type="dxa"/>
        <w:tblInd w:w="0" w:type="dxa"/>
        <w:shd w:val="clear" w:color="auto" w:fill="FFFFFF"/>
        <w:tblLayout w:type="fixed"/>
        <w:tblCellMar>
          <w:top w:w="0" w:type="dxa"/>
          <w:left w:w="0" w:type="dxa"/>
          <w:bottom w:w="0" w:type="dxa"/>
          <w:right w:w="0" w:type="dxa"/>
        </w:tblCellMar>
      </w:tblPr>
      <w:tblGrid>
        <w:gridCol w:w="490"/>
        <w:gridCol w:w="750"/>
        <w:gridCol w:w="5810"/>
        <w:gridCol w:w="4110"/>
        <w:gridCol w:w="2340"/>
        <w:gridCol w:w="1347"/>
      </w:tblGrid>
      <w:tr>
        <w:tblPrEx>
          <w:shd w:val="clear" w:color="auto" w:fill="FFFFFF"/>
          <w:tblLayout w:type="fixed"/>
          <w:tblCellMar>
            <w:top w:w="0" w:type="dxa"/>
            <w:left w:w="0" w:type="dxa"/>
            <w:bottom w:w="0" w:type="dxa"/>
            <w:right w:w="0" w:type="dxa"/>
          </w:tblCellMar>
        </w:tblPrEx>
        <w:trPr>
          <w:trHeight w:val="580" w:hRule="atLeast"/>
          <w:tblCellSpacing w:w="0" w:type="dxa"/>
        </w:trPr>
        <w:tc>
          <w:tcPr>
            <w:tcW w:w="49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150" w:beforeLines="0" w:beforeAutospacing="0" w:after="0" w:afterLines="0" w:afterAutospacing="0" w:line="2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序号</w:t>
            </w:r>
          </w:p>
        </w:tc>
        <w:tc>
          <w:tcPr>
            <w:tcW w:w="7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150" w:beforeLines="0" w:beforeAutospacing="0" w:after="0" w:afterLines="0" w:afterAutospacing="0" w:line="2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征收</w:t>
            </w:r>
          </w:p>
          <w:p>
            <w:pPr>
              <w:pStyle w:val="4"/>
              <w:keepNext w:val="0"/>
              <w:keepLines w:val="0"/>
              <w:pageBreakBefore w:val="0"/>
              <w:widowControl/>
              <w:kinsoku/>
              <w:wordWrap/>
              <w:overflowPunct/>
              <w:topLinePunct w:val="0"/>
              <w:autoSpaceDE/>
              <w:autoSpaceDN/>
              <w:bidi w:val="0"/>
              <w:adjustRightInd/>
              <w:snapToGrid/>
              <w:spacing w:before="150" w:beforeLines="0" w:beforeAutospacing="0" w:after="0" w:afterLines="0" w:afterAutospacing="0" w:line="2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项目</w:t>
            </w:r>
          </w:p>
        </w:tc>
        <w:tc>
          <w:tcPr>
            <w:tcW w:w="581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150" w:beforeLines="0" w:beforeAutospacing="0" w:after="0" w:afterLines="0" w:afterAutospacing="0" w:line="2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法律依据</w:t>
            </w:r>
          </w:p>
        </w:tc>
        <w:tc>
          <w:tcPr>
            <w:tcW w:w="411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150" w:beforeLines="0" w:beforeAutospacing="0" w:after="0" w:afterLines="0" w:afterAutospacing="0" w:line="2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征收标准</w:t>
            </w:r>
          </w:p>
        </w:tc>
        <w:tc>
          <w:tcPr>
            <w:tcW w:w="234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150" w:beforeLines="0" w:beforeAutospacing="0" w:after="0" w:afterLines="0" w:afterAutospacing="0" w:line="2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裁量情形</w:t>
            </w:r>
          </w:p>
        </w:tc>
        <w:tc>
          <w:tcPr>
            <w:tcW w:w="134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150" w:beforeLines="0" w:beforeAutospacing="0" w:after="0" w:afterLines="0" w:afterAutospacing="0" w:line="2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征收</w:t>
            </w:r>
          </w:p>
          <w:p>
            <w:pPr>
              <w:pStyle w:val="4"/>
              <w:keepNext w:val="0"/>
              <w:keepLines w:val="0"/>
              <w:pageBreakBefore w:val="0"/>
              <w:widowControl/>
              <w:kinsoku/>
              <w:wordWrap/>
              <w:overflowPunct/>
              <w:topLinePunct w:val="0"/>
              <w:autoSpaceDE/>
              <w:autoSpaceDN/>
              <w:bidi w:val="0"/>
              <w:adjustRightInd/>
              <w:snapToGrid/>
              <w:spacing w:before="150" w:beforeLines="0" w:beforeAutospacing="0" w:after="0" w:afterLines="0" w:afterAutospacing="0" w:line="2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流程</w:t>
            </w:r>
          </w:p>
        </w:tc>
      </w:tr>
      <w:tr>
        <w:tblPrEx>
          <w:shd w:val="clear" w:color="auto" w:fill="FFFFFF"/>
          <w:tblLayout w:type="fixed"/>
          <w:tblCellMar>
            <w:top w:w="0" w:type="dxa"/>
            <w:left w:w="0" w:type="dxa"/>
            <w:bottom w:w="0" w:type="dxa"/>
            <w:right w:w="0" w:type="dxa"/>
          </w:tblCellMar>
        </w:tblPrEx>
        <w:trPr>
          <w:trHeight w:val="3578" w:hRule="atLeast"/>
          <w:tblCellSpacing w:w="0" w:type="dxa"/>
        </w:trPr>
        <w:tc>
          <w:tcPr>
            <w:tcW w:w="49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cs="宋体"/>
                <w:color w:val="auto"/>
                <w:sz w:val="18"/>
                <w:szCs w:val="18"/>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cs="宋体"/>
                <w:color w:val="auto"/>
                <w:sz w:val="18"/>
                <w:szCs w:val="18"/>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cs="宋体"/>
                <w:color w:val="auto"/>
                <w:sz w:val="18"/>
                <w:szCs w:val="18"/>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cs="宋体"/>
                <w:color w:val="auto"/>
                <w:sz w:val="18"/>
                <w:szCs w:val="18"/>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宋体" w:hAnsi="宋体" w:cs="宋体"/>
                <w:color w:val="auto"/>
                <w:sz w:val="18"/>
                <w:szCs w:val="18"/>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cs="宋体"/>
                <w:color w:val="auto"/>
                <w:sz w:val="18"/>
                <w:szCs w:val="18"/>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cs="宋体"/>
                <w:color w:val="auto"/>
                <w:sz w:val="18"/>
                <w:szCs w:val="18"/>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cs="宋体"/>
                <w:color w:val="auto"/>
                <w:sz w:val="18"/>
                <w:szCs w:val="18"/>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ascii="黑体" w:hAnsi="宋体" w:eastAsia="黑体" w:cs="黑体"/>
                <w:color w:val="auto"/>
                <w:sz w:val="18"/>
                <w:szCs w:val="18"/>
              </w:rPr>
            </w:pPr>
            <w:r>
              <w:rPr>
                <w:rFonts w:hint="eastAsia" w:ascii="宋体" w:hAnsi="宋体" w:cs="宋体"/>
                <w:color w:val="auto"/>
                <w:sz w:val="18"/>
                <w:szCs w:val="18"/>
              </w:rPr>
              <w:t>1</w:t>
            </w:r>
          </w:p>
        </w:tc>
        <w:tc>
          <w:tcPr>
            <w:tcW w:w="7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ascii="仿宋_GB2312" w:hAnsi="微软雅黑" w:eastAsia="仿宋_GB2312" w:cs="仿宋_GB2312"/>
                <w:color w:val="auto"/>
                <w:sz w:val="18"/>
                <w:szCs w:val="18"/>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ascii="仿宋_GB2312" w:hAnsi="微软雅黑" w:eastAsia="仿宋_GB2312" w:cs="仿宋_GB2312"/>
                <w:color w:val="auto"/>
                <w:sz w:val="18"/>
                <w:szCs w:val="18"/>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ascii="仿宋_GB2312" w:hAnsi="微软雅黑" w:eastAsia="仿宋_GB2312" w:cs="仿宋_GB2312"/>
                <w:color w:val="auto"/>
                <w:sz w:val="18"/>
                <w:szCs w:val="18"/>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ascii="仿宋_GB2312" w:hAnsi="微软雅黑" w:eastAsia="仿宋_GB2312" w:cs="仿宋_GB2312"/>
                <w:color w:val="auto"/>
                <w:sz w:val="18"/>
                <w:szCs w:val="18"/>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ascii="仿宋_GB2312" w:hAnsi="微软雅黑" w:eastAsia="仿宋_GB2312" w:cs="仿宋_GB2312"/>
                <w:color w:val="auto"/>
                <w:sz w:val="18"/>
                <w:szCs w:val="18"/>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ascii="仿宋_GB2312" w:hAnsi="微软雅黑" w:eastAsia="仿宋_GB2312" w:cs="仿宋_GB2312"/>
                <w:color w:val="auto"/>
                <w:sz w:val="18"/>
                <w:szCs w:val="18"/>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eastAsia" w:ascii="黑体" w:hAnsi="宋体" w:eastAsia="黑体" w:cs="黑体"/>
                <w:color w:val="auto"/>
                <w:sz w:val="18"/>
                <w:szCs w:val="18"/>
              </w:rPr>
            </w:pPr>
            <w:r>
              <w:rPr>
                <w:rFonts w:ascii="仿宋_GB2312" w:hAnsi="微软雅黑" w:eastAsia="仿宋_GB2312" w:cs="仿宋_GB2312"/>
                <w:color w:val="auto"/>
                <w:sz w:val="18"/>
                <w:szCs w:val="18"/>
              </w:rPr>
              <w:t>受委托征收社会抚养费</w:t>
            </w:r>
          </w:p>
        </w:tc>
        <w:tc>
          <w:tcPr>
            <w:tcW w:w="581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eastAsia" w:ascii="仿宋_GB2312" w:hAnsi="微软雅黑" w:eastAsia="仿宋_GB2312" w:cs="仿宋_GB2312"/>
                <w:color w:val="auto"/>
                <w:sz w:val="18"/>
                <w:szCs w:val="18"/>
              </w:rPr>
            </w:pPr>
            <w:r>
              <w:rPr>
                <w:rFonts w:hint="eastAsia" w:ascii="仿宋_GB2312" w:hAnsi="微软雅黑" w:eastAsia="仿宋_GB2312" w:cs="仿宋_GB2312"/>
                <w:b/>
                <w:bCs/>
                <w:color w:val="auto"/>
                <w:sz w:val="18"/>
                <w:szCs w:val="18"/>
              </w:rPr>
              <w:t xml:space="preserve">1.《中华人民共和国人口与计划生育法》第四十一条 </w:t>
            </w:r>
            <w:r>
              <w:rPr>
                <w:rFonts w:hint="eastAsia" w:ascii="仿宋_GB2312" w:hAnsi="微软雅黑" w:eastAsia="仿宋_GB2312" w:cs="仿宋_GB2312"/>
                <w:color w:val="auto"/>
                <w:sz w:val="18"/>
                <w:szCs w:val="18"/>
              </w:rPr>
              <w:t>不符合本法第十八条规定生育子女的公民，应当依法缴纳社会抚养费。</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eastAsia" w:ascii="仿宋_GB2312" w:hAnsi="微软雅黑" w:eastAsia="仿宋_GB2312" w:cs="仿宋_GB2312"/>
                <w:b/>
                <w:bCs/>
                <w:color w:val="auto"/>
                <w:sz w:val="18"/>
                <w:szCs w:val="18"/>
              </w:rPr>
            </w:pPr>
            <w:r>
              <w:rPr>
                <w:rFonts w:hint="eastAsia" w:ascii="仿宋_GB2312" w:hAnsi="微软雅黑" w:eastAsia="仿宋_GB2312" w:cs="仿宋_GB2312"/>
                <w:b/>
                <w:bCs/>
                <w:color w:val="auto"/>
                <w:sz w:val="18"/>
                <w:szCs w:val="18"/>
              </w:rPr>
              <w:t>2《社会抚养费征收管理办法》（2002年国务院令第357号）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eastAsia" w:ascii="仿宋_GB2312" w:hAnsi="微软雅黑" w:eastAsia="仿宋_GB2312" w:cs="仿宋_GB2312"/>
                <w:color w:val="auto"/>
                <w:sz w:val="18"/>
                <w:szCs w:val="18"/>
              </w:rPr>
            </w:pPr>
            <w:r>
              <w:rPr>
                <w:rFonts w:hint="eastAsia" w:ascii="仿宋_GB2312" w:hAnsi="微软雅黑" w:eastAsia="仿宋_GB2312" w:cs="仿宋_GB2312"/>
                <w:b/>
                <w:bCs/>
                <w:color w:val="auto"/>
                <w:sz w:val="18"/>
                <w:szCs w:val="18"/>
              </w:rPr>
              <w:t>第四条</w:t>
            </w:r>
            <w:r>
              <w:rPr>
                <w:rFonts w:hint="eastAsia" w:ascii="仿宋_GB2312" w:hAnsi="微软雅黑" w:eastAsia="仿宋_GB2312" w:cs="仿宋_GB2312"/>
                <w:color w:val="auto"/>
                <w:sz w:val="18"/>
                <w:szCs w:val="18"/>
              </w:rPr>
              <w:t xml:space="preserve"> 社会抚养费的征收，由县级人民政府计划生育行政部门作出书面征收决定；县级人民政府计划生育行政部门可以委托乡（镇）人民政府或者街道办事处作出书面征收决定。</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eastAsia" w:ascii="仿宋_GB2312" w:hAnsi="微软雅黑" w:eastAsia="仿宋_GB2312" w:cs="仿宋_GB2312"/>
                <w:color w:val="auto"/>
                <w:sz w:val="18"/>
                <w:szCs w:val="18"/>
              </w:rPr>
            </w:pPr>
            <w:r>
              <w:rPr>
                <w:rFonts w:hint="eastAsia" w:ascii="仿宋_GB2312" w:hAnsi="微软雅黑" w:eastAsia="仿宋_GB2312" w:cs="仿宋_GB2312"/>
                <w:b/>
                <w:bCs/>
                <w:color w:val="auto"/>
                <w:sz w:val="18"/>
                <w:szCs w:val="18"/>
              </w:rPr>
              <w:t>第八条</w:t>
            </w:r>
            <w:r>
              <w:rPr>
                <w:rFonts w:hint="eastAsia" w:ascii="仿宋_GB2312" w:hAnsi="微软雅黑" w:eastAsia="仿宋_GB2312" w:cs="仿宋_GB2312"/>
                <w:color w:val="auto"/>
                <w:sz w:val="18"/>
                <w:szCs w:val="18"/>
              </w:rPr>
              <w:t xml:space="preserve"> 当事人未在规定的期限内缴纳社会抚养费的，自欠缴之日起每月加收欠缴社会抚养费的千分之二的滞纳金；仍不缴纳的，由作出征收决定的计划生育行政部门依法申请人民法院强制执行。</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eastAsia" w:ascii="仿宋_GB2312" w:hAnsi="微软雅黑" w:eastAsia="仿宋_GB2312" w:cs="仿宋_GB2312"/>
                <w:b/>
                <w:bCs/>
                <w:color w:val="auto"/>
                <w:sz w:val="18"/>
                <w:szCs w:val="18"/>
              </w:rPr>
            </w:pPr>
            <w:r>
              <w:rPr>
                <w:rFonts w:hint="eastAsia" w:ascii="仿宋_GB2312" w:hAnsi="微软雅黑" w:eastAsia="仿宋_GB2312" w:cs="仿宋_GB2312"/>
                <w:b/>
                <w:bCs/>
                <w:color w:val="auto"/>
                <w:sz w:val="18"/>
                <w:szCs w:val="18"/>
              </w:rPr>
              <w:t>3.【地方法规】《宁夏回族自治区人口与计划生育条例》（2016年修改）</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eastAsia" w:ascii="仿宋_GB2312" w:hAnsi="微软雅黑" w:eastAsia="仿宋_GB2312" w:cs="仿宋_GB2312"/>
                <w:color w:val="auto"/>
                <w:sz w:val="18"/>
                <w:szCs w:val="18"/>
              </w:rPr>
            </w:pPr>
            <w:r>
              <w:rPr>
                <w:rFonts w:hint="eastAsia" w:ascii="仿宋_GB2312" w:hAnsi="微软雅黑" w:eastAsia="仿宋_GB2312" w:cs="仿宋_GB2312"/>
                <w:b/>
                <w:bCs/>
                <w:color w:val="auto"/>
                <w:sz w:val="18"/>
                <w:szCs w:val="18"/>
              </w:rPr>
              <w:t>第五十二条</w:t>
            </w:r>
            <w:r>
              <w:rPr>
                <w:rFonts w:hint="eastAsia" w:ascii="仿宋_GB2312" w:hAnsi="微软雅黑" w:eastAsia="仿宋_GB2312" w:cs="仿宋_GB2312"/>
                <w:color w:val="auto"/>
                <w:sz w:val="18"/>
                <w:szCs w:val="18"/>
              </w:rPr>
              <w:t xml:space="preserve"> 违反本条例规定生育的，以当地县（市、区）上年度城镇居民人均可支配收入或者当地乡（镇）上年度农村居民人均纯收入为基数，对男女双方分别按照下列规定一次性征收社会抚养费：</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eastAsia" w:ascii="宋体" w:hAnsi="宋体" w:cs="宋体"/>
                <w:color w:val="auto"/>
                <w:sz w:val="18"/>
                <w:szCs w:val="18"/>
              </w:rPr>
            </w:pPr>
            <w:r>
              <w:rPr>
                <w:rFonts w:hint="eastAsia" w:ascii="仿宋_GB2312" w:hAnsi="微软雅黑" w:eastAsia="仿宋_GB2312" w:cs="仿宋_GB2312"/>
                <w:color w:val="auto"/>
                <w:sz w:val="18"/>
                <w:szCs w:val="18"/>
              </w:rPr>
              <w:t xml:space="preserve">  （一）超生一个子女的，征收二至六倍的社会抚养费；（二）超生二个以上子女的，以超生一个子女应当征收的社会抚养费为基数，按超生子女数为倍数征收社会抚养费；（三）非婚生育子女，按照本条（一）项、（二）项规定加倍征收社会抚养费；（四）违法收养子女的，按照本条（一）项、（二）项规定征收社会抚养费。</w:t>
            </w:r>
          </w:p>
        </w:tc>
        <w:tc>
          <w:tcPr>
            <w:tcW w:w="411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微软雅黑" w:eastAsia="仿宋_GB2312" w:cs="仿宋_GB2312"/>
                <w:color w:val="auto"/>
                <w:sz w:val="18"/>
                <w:szCs w:val="18"/>
              </w:rPr>
            </w:pPr>
            <w:r>
              <w:rPr>
                <w:rFonts w:hint="eastAsia" w:ascii="仿宋_GB2312" w:hAnsi="微软雅黑" w:eastAsia="仿宋_GB2312" w:cs="仿宋_GB2312"/>
                <w:color w:val="auto"/>
                <w:sz w:val="18"/>
                <w:szCs w:val="18"/>
                <w:lang w:bidi="ar"/>
              </w:rPr>
              <w:t>《</w:t>
            </w:r>
            <w:r>
              <w:rPr>
                <w:rFonts w:hint="eastAsia" w:ascii="仿宋_GB2312" w:hAnsi="微软雅黑" w:eastAsia="仿宋_GB2312" w:cs="仿宋_GB2312"/>
                <w:color w:val="auto"/>
                <w:sz w:val="18"/>
                <w:szCs w:val="18"/>
              </w:rPr>
              <w:t>宁夏回族自治区人口与计划生育条例》</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微软雅黑" w:eastAsia="仿宋_GB2312" w:cs="仿宋_GB2312"/>
                <w:color w:val="auto"/>
                <w:sz w:val="18"/>
                <w:szCs w:val="18"/>
              </w:rPr>
            </w:pPr>
            <w:r>
              <w:rPr>
                <w:rFonts w:hint="eastAsia" w:ascii="仿宋_GB2312" w:hAnsi="仿宋_GB2312" w:eastAsia="仿宋_GB2312" w:cs="仿宋_GB2312"/>
                <w:b/>
                <w:bCs/>
                <w:color w:val="auto"/>
                <w:sz w:val="18"/>
                <w:szCs w:val="18"/>
              </w:rPr>
              <w:t>第五十六条</w:t>
            </w:r>
            <w:r>
              <w:rPr>
                <w:rFonts w:hint="eastAsia" w:ascii="仿宋_GB2312" w:hAnsi="微软雅黑" w:eastAsia="仿宋_GB2312" w:cs="仿宋_GB2312"/>
                <w:color w:val="auto"/>
                <w:sz w:val="18"/>
                <w:szCs w:val="18"/>
              </w:rPr>
              <w:t xml:space="preserve"> 违反本条例规定生育的，以当地县(市、区)上年度城镇居民人均可支配收入或者当地乡(镇)上年度农村居民人均纯收入为基数，对男女双方分别按照下列规定一次性征收社会抚养费:</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微软雅黑" w:eastAsia="仿宋_GB2312" w:cs="仿宋_GB2312"/>
                <w:color w:val="auto"/>
                <w:sz w:val="18"/>
                <w:szCs w:val="18"/>
              </w:rPr>
            </w:pPr>
            <w:r>
              <w:rPr>
                <w:rFonts w:hint="eastAsia" w:ascii="仿宋_GB2312" w:hAnsi="微软雅黑" w:eastAsia="仿宋_GB2312" w:cs="仿宋_GB2312"/>
                <w:color w:val="auto"/>
                <w:sz w:val="18"/>
                <w:szCs w:val="18"/>
              </w:rPr>
              <w:t>(一)超生一个子女的，征收二至六倍的社会抚养费;</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微软雅黑" w:eastAsia="仿宋_GB2312" w:cs="仿宋_GB2312"/>
                <w:color w:val="auto"/>
                <w:sz w:val="18"/>
                <w:szCs w:val="18"/>
              </w:rPr>
            </w:pPr>
            <w:r>
              <w:rPr>
                <w:rFonts w:hint="eastAsia" w:ascii="仿宋_GB2312" w:hAnsi="微软雅黑" w:eastAsia="仿宋_GB2312" w:cs="仿宋_GB2312"/>
                <w:color w:val="auto"/>
                <w:sz w:val="18"/>
                <w:szCs w:val="18"/>
              </w:rPr>
              <w:t>(二)超生二个以上子女的，以超生一个子女应当征收的社会抚养费为基数，按超生子女数为倍数征收社会抚养费;</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微软雅黑" w:eastAsia="仿宋_GB2312" w:cs="仿宋_GB2312"/>
                <w:color w:val="auto"/>
                <w:sz w:val="18"/>
                <w:szCs w:val="18"/>
              </w:rPr>
            </w:pPr>
            <w:r>
              <w:rPr>
                <w:rFonts w:hint="eastAsia" w:ascii="仿宋_GB2312" w:hAnsi="微软雅黑" w:eastAsia="仿宋_GB2312" w:cs="仿宋_GB2312"/>
                <w:color w:val="auto"/>
                <w:sz w:val="18"/>
                <w:szCs w:val="18"/>
              </w:rPr>
              <w:t>(三)非婚生育子女，按照本条(一)项、(二)项规定加倍征收社会抚养费;</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微软雅黑" w:eastAsia="仿宋_GB2312" w:cs="仿宋_GB2312"/>
                <w:color w:val="auto"/>
                <w:sz w:val="18"/>
                <w:szCs w:val="18"/>
              </w:rPr>
            </w:pPr>
            <w:r>
              <w:rPr>
                <w:rFonts w:hint="eastAsia" w:ascii="仿宋_GB2312" w:hAnsi="微软雅黑" w:eastAsia="仿宋_GB2312" w:cs="仿宋_GB2312"/>
                <w:color w:val="auto"/>
                <w:sz w:val="18"/>
                <w:szCs w:val="18"/>
              </w:rPr>
              <w:t>(四)违法收养子女的，按照本条(一)项、(二)项规定征收社会抚养费。</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360" w:firstLineChars="200"/>
              <w:textAlignment w:val="auto"/>
              <w:outlineLvl w:val="9"/>
              <w:rPr>
                <w:rFonts w:hint="eastAsia" w:ascii="仿宋_GB2312" w:hAnsi="微软雅黑" w:eastAsia="仿宋_GB2312" w:cs="仿宋_GB2312"/>
                <w:color w:val="auto"/>
                <w:sz w:val="18"/>
                <w:szCs w:val="18"/>
              </w:rPr>
            </w:pPr>
            <w:r>
              <w:rPr>
                <w:rFonts w:hint="eastAsia" w:ascii="仿宋_GB2312" w:hAnsi="微软雅黑" w:eastAsia="仿宋_GB2312" w:cs="仿宋_GB2312"/>
                <w:color w:val="auto"/>
                <w:sz w:val="18"/>
                <w:szCs w:val="18"/>
              </w:rPr>
              <w:t>不够间隔期生育的，一次性征收一千元以上三千元以下的社会抚养费。</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宋体" w:hAnsi="宋体" w:cs="宋体"/>
                <w:color w:val="auto"/>
                <w:sz w:val="18"/>
                <w:szCs w:val="18"/>
              </w:rPr>
            </w:pPr>
            <w:r>
              <w:rPr>
                <w:rFonts w:hint="eastAsia" w:ascii="仿宋_GB2312" w:hAnsi="仿宋_GB2312" w:eastAsia="仿宋_GB2312" w:cs="仿宋_GB2312"/>
                <w:b/>
                <w:bCs/>
                <w:color w:val="auto"/>
                <w:sz w:val="18"/>
                <w:szCs w:val="18"/>
              </w:rPr>
              <w:t xml:space="preserve">第五十七条 </w:t>
            </w:r>
            <w:r>
              <w:rPr>
                <w:rFonts w:hint="eastAsia" w:ascii="仿宋_GB2312" w:hAnsi="微软雅黑" w:eastAsia="仿宋_GB2312" w:cs="仿宋_GB2312"/>
                <w:color w:val="auto"/>
                <w:sz w:val="18"/>
                <w:szCs w:val="18"/>
              </w:rPr>
              <w:t>征收社会</w:t>
            </w:r>
            <w:r>
              <w:rPr>
                <w:rFonts w:hint="eastAsia" w:ascii="仿宋_GB2312" w:hAnsi="微软雅黑" w:eastAsia="仿宋_GB2312" w:cs="仿宋_GB2312"/>
                <w:color w:val="auto"/>
                <w:sz w:val="18"/>
                <w:szCs w:val="18"/>
                <w:lang w:bidi="ar"/>
              </w:rPr>
              <w:t>抚养费，由县(市、区)人口和计划生育行政部门作出书面征收决定，或者委托乡(镇)人民政府、街道办事处作出书面征收决定。</w:t>
            </w:r>
          </w:p>
        </w:tc>
        <w:tc>
          <w:tcPr>
            <w:tcW w:w="234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微软雅黑" w:eastAsia="仿宋_GB2312" w:cs="仿宋_GB2312"/>
                <w:color w:val="auto"/>
                <w:sz w:val="18"/>
                <w:szCs w:val="18"/>
              </w:rPr>
            </w:pPr>
            <w:r>
              <w:rPr>
                <w:rFonts w:hint="eastAsia" w:ascii="仿宋_GB2312" w:hAnsi="微软雅黑" w:eastAsia="仿宋_GB2312" w:cs="仿宋_GB2312"/>
                <w:color w:val="auto"/>
                <w:sz w:val="18"/>
                <w:szCs w:val="18"/>
              </w:rPr>
              <w:t>征收情形</w:t>
            </w:r>
            <w:r>
              <w:rPr>
                <w:rFonts w:ascii="仿宋_GB2312" w:hAnsi="微软雅黑" w:eastAsia="仿宋_GB2312" w:cs="仿宋_GB2312"/>
                <w:color w:val="auto"/>
                <w:sz w:val="18"/>
                <w:szCs w:val="18"/>
              </w:rPr>
              <w:t>:</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微软雅黑" w:eastAsia="仿宋_GB2312" w:cs="仿宋_GB2312"/>
                <w:color w:val="auto"/>
                <w:sz w:val="18"/>
                <w:szCs w:val="18"/>
              </w:rPr>
            </w:pPr>
            <w:r>
              <w:rPr>
                <w:rFonts w:hint="eastAsia" w:ascii="仿宋_GB2312" w:hAnsi="微软雅黑" w:eastAsia="仿宋_GB2312" w:cs="仿宋_GB2312"/>
                <w:color w:val="auto"/>
                <w:sz w:val="18"/>
                <w:szCs w:val="18"/>
              </w:rPr>
              <w:t>缓征情形：当事人一次性缴纳社会抚养费确有困难的，应当自接到征收决定之日起三十日内，向作出征收决定的人口和计划生育行政部门提出分期缴纳的书面申请。人口和计划生育行政部门应当自接到当事人申请之日起三十日内，作出准予或者不准予分期缴纳的决定，并书面通知当事人。分期缴纳的时限，自作出准予分期缴纳的决定之日起不超过一年。</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_GB2312" w:hAnsi="微软雅黑" w:eastAsia="仿宋_GB2312" w:cs="仿宋_GB2312"/>
                <w:color w:val="auto"/>
                <w:sz w:val="18"/>
                <w:szCs w:val="18"/>
              </w:rPr>
            </w:pPr>
            <w:r>
              <w:rPr>
                <w:rFonts w:hint="eastAsia" w:ascii="仿宋_GB2312" w:hAnsi="微软雅黑" w:eastAsia="仿宋_GB2312" w:cs="仿宋_GB2312"/>
                <w:color w:val="auto"/>
                <w:sz w:val="18"/>
                <w:szCs w:val="18"/>
              </w:rPr>
              <w:t>征收社会抚养费，应当向当事人出具由自治区财政部门统一印制的票据。</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宋体" w:hAnsi="宋体" w:cs="宋体"/>
                <w:color w:val="auto"/>
                <w:sz w:val="18"/>
                <w:szCs w:val="18"/>
              </w:rPr>
            </w:pPr>
          </w:p>
        </w:tc>
        <w:tc>
          <w:tcPr>
            <w:tcW w:w="134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宋体" w:hAnsi="宋体" w:cs="宋体"/>
                <w:color w:val="auto"/>
                <w:sz w:val="18"/>
                <w:szCs w:val="18"/>
              </w:rPr>
            </w:pPr>
            <w:r>
              <w:rPr>
                <w:rFonts w:hint="eastAsia" w:ascii="仿宋_GB2312" w:hAnsi="微软雅黑" w:eastAsia="仿宋_GB2312" w:cs="仿宋_GB2312"/>
                <w:color w:val="auto"/>
                <w:sz w:val="18"/>
                <w:szCs w:val="18"/>
              </w:rPr>
              <w:t>立案</w:t>
            </w:r>
            <w:r>
              <w:rPr>
                <w:rFonts w:ascii="仿宋_GB2312" w:hAnsi="微软雅黑" w:eastAsia="仿宋_GB2312" w:cs="仿宋_GB2312"/>
                <w:color w:val="auto"/>
                <w:sz w:val="18"/>
                <w:szCs w:val="18"/>
              </w:rPr>
              <w:t>→</w:t>
            </w:r>
            <w:r>
              <w:rPr>
                <w:rFonts w:hint="eastAsia" w:ascii="仿宋_GB2312" w:hAnsi="微软雅黑" w:eastAsia="仿宋_GB2312" w:cs="仿宋_GB2312"/>
                <w:color w:val="auto"/>
                <w:sz w:val="18"/>
                <w:szCs w:val="18"/>
              </w:rPr>
              <w:t>调查取证</w:t>
            </w:r>
            <w:r>
              <w:rPr>
                <w:rFonts w:ascii="仿宋_GB2312" w:hAnsi="微软雅黑" w:eastAsia="仿宋_GB2312" w:cs="仿宋_GB2312"/>
                <w:color w:val="auto"/>
                <w:sz w:val="18"/>
                <w:szCs w:val="18"/>
              </w:rPr>
              <w:t>→</w:t>
            </w:r>
            <w:r>
              <w:rPr>
                <w:rFonts w:hint="eastAsia" w:ascii="仿宋_GB2312" w:hAnsi="微软雅黑" w:eastAsia="仿宋_GB2312" w:cs="仿宋_GB2312"/>
                <w:color w:val="auto"/>
                <w:sz w:val="18"/>
                <w:szCs w:val="18"/>
              </w:rPr>
              <w:t>上报调查报告</w:t>
            </w:r>
            <w:r>
              <w:rPr>
                <w:rFonts w:ascii="仿宋_GB2312" w:hAnsi="微软雅黑" w:eastAsia="仿宋_GB2312" w:cs="仿宋_GB2312"/>
                <w:color w:val="auto"/>
                <w:sz w:val="18"/>
                <w:szCs w:val="18"/>
              </w:rPr>
              <w:t>→</w:t>
            </w:r>
            <w:r>
              <w:rPr>
                <w:rFonts w:hint="eastAsia" w:ascii="仿宋_GB2312" w:hAnsi="微软雅黑" w:eastAsia="仿宋_GB2312" w:cs="仿宋_GB2312"/>
                <w:color w:val="auto"/>
                <w:sz w:val="18"/>
                <w:szCs w:val="18"/>
              </w:rPr>
              <w:t>县级人民政府计划生育行政部门审核</w:t>
            </w:r>
            <w:r>
              <w:rPr>
                <w:rFonts w:ascii="仿宋_GB2312" w:hAnsi="微软雅黑" w:eastAsia="仿宋_GB2312" w:cs="仿宋_GB2312"/>
                <w:color w:val="auto"/>
                <w:sz w:val="18"/>
                <w:szCs w:val="18"/>
              </w:rPr>
              <w:t>→</w:t>
            </w:r>
            <w:r>
              <w:rPr>
                <w:rFonts w:hint="eastAsia" w:ascii="仿宋_GB2312" w:hAnsi="微软雅黑" w:eastAsia="仿宋_GB2312" w:cs="仿宋_GB2312"/>
                <w:color w:val="auto"/>
                <w:sz w:val="18"/>
                <w:szCs w:val="18"/>
              </w:rPr>
              <w:t>下达行政征收告知书并送达</w:t>
            </w:r>
            <w:r>
              <w:rPr>
                <w:rFonts w:ascii="仿宋_GB2312" w:hAnsi="微软雅黑" w:eastAsia="仿宋_GB2312" w:cs="仿宋_GB2312"/>
                <w:color w:val="auto"/>
                <w:sz w:val="18"/>
                <w:szCs w:val="18"/>
              </w:rPr>
              <w:t>→</w:t>
            </w:r>
            <w:r>
              <w:rPr>
                <w:rFonts w:hint="eastAsia" w:ascii="仿宋_GB2312" w:hAnsi="微软雅黑" w:eastAsia="仿宋_GB2312" w:cs="仿宋_GB2312"/>
                <w:color w:val="auto"/>
                <w:sz w:val="18"/>
                <w:szCs w:val="18"/>
              </w:rPr>
              <w:t>三个工作日内当事人未提出申辩、陈述、听证的（提出申辩、陈述、听证的</w:t>
            </w:r>
            <w:r>
              <w:rPr>
                <w:rFonts w:ascii="仿宋_GB2312" w:hAnsi="微软雅黑" w:eastAsia="仿宋_GB2312" w:cs="仿宋_GB2312"/>
                <w:color w:val="auto"/>
                <w:sz w:val="18"/>
                <w:szCs w:val="18"/>
              </w:rPr>
              <w:t>→</w:t>
            </w:r>
            <w:r>
              <w:rPr>
                <w:rFonts w:hint="eastAsia" w:ascii="仿宋_GB2312" w:hAnsi="微软雅黑" w:eastAsia="仿宋_GB2312" w:cs="仿宋_GB2312"/>
                <w:color w:val="auto"/>
                <w:sz w:val="18"/>
                <w:szCs w:val="18"/>
              </w:rPr>
              <w:t>听证）</w:t>
            </w:r>
            <w:r>
              <w:rPr>
                <w:rFonts w:ascii="仿宋_GB2312" w:hAnsi="微软雅黑" w:eastAsia="仿宋_GB2312" w:cs="仿宋_GB2312"/>
                <w:color w:val="auto"/>
                <w:sz w:val="18"/>
                <w:szCs w:val="18"/>
              </w:rPr>
              <w:t>→</w:t>
            </w:r>
            <w:r>
              <w:rPr>
                <w:rFonts w:hint="eastAsia" w:ascii="仿宋_GB2312" w:hAnsi="微软雅黑" w:eastAsia="仿宋_GB2312" w:cs="仿宋_GB2312"/>
                <w:color w:val="auto"/>
                <w:sz w:val="18"/>
                <w:szCs w:val="18"/>
              </w:rPr>
              <w:t>下达行政征收决定书并送达</w:t>
            </w:r>
            <w:r>
              <w:rPr>
                <w:rFonts w:ascii="仿宋_GB2312" w:hAnsi="微软雅黑" w:eastAsia="仿宋_GB2312" w:cs="仿宋_GB2312"/>
                <w:color w:val="auto"/>
                <w:sz w:val="18"/>
                <w:szCs w:val="18"/>
              </w:rPr>
              <w:t>→</w:t>
            </w:r>
            <w:r>
              <w:rPr>
                <w:rFonts w:hint="eastAsia" w:ascii="仿宋_GB2312" w:hAnsi="微软雅黑" w:eastAsia="仿宋_GB2312" w:cs="仿宋_GB2312"/>
                <w:color w:val="auto"/>
                <w:sz w:val="18"/>
                <w:szCs w:val="18"/>
              </w:rPr>
              <w:t>执行</w:t>
            </w:r>
            <w:r>
              <w:rPr>
                <w:rFonts w:ascii="仿宋_GB2312" w:hAnsi="微软雅黑" w:eastAsia="仿宋_GB2312" w:cs="仿宋_GB2312"/>
                <w:color w:val="auto"/>
                <w:sz w:val="18"/>
                <w:szCs w:val="18"/>
              </w:rPr>
              <w:t>→</w:t>
            </w:r>
            <w:r>
              <w:rPr>
                <w:rFonts w:hint="eastAsia" w:ascii="仿宋_GB2312" w:hAnsi="微软雅黑" w:eastAsia="仿宋_GB2312" w:cs="仿宋_GB2312"/>
                <w:color w:val="auto"/>
                <w:sz w:val="18"/>
                <w:szCs w:val="18"/>
              </w:rPr>
              <w:t>结案</w:t>
            </w:r>
            <w:r>
              <w:rPr>
                <w:rFonts w:ascii="仿宋_GB2312" w:hAnsi="微软雅黑" w:eastAsia="仿宋_GB2312" w:cs="仿宋_GB2312"/>
                <w:color w:val="auto"/>
                <w:sz w:val="18"/>
                <w:szCs w:val="18"/>
              </w:rPr>
              <w:t>→</w:t>
            </w:r>
            <w:r>
              <w:rPr>
                <w:rFonts w:hint="eastAsia" w:ascii="仿宋_GB2312" w:hAnsi="微软雅黑" w:eastAsia="仿宋_GB2312" w:cs="仿宋_GB2312"/>
                <w:color w:val="auto"/>
                <w:sz w:val="18"/>
                <w:szCs w:val="18"/>
              </w:rPr>
              <w:t>归档</w:t>
            </w: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shd w:val="clear" w:color="auto" w:fill="FFFFFF"/>
        </w:rPr>
      </w:pPr>
    </w:p>
    <w:p>
      <w:pPr>
        <w:pStyle w:val="4"/>
        <w:widowControl/>
        <w:shd w:val="clear" w:color="auto" w:fill="FFFFFF"/>
        <w:spacing w:before="150" w:beforeLines="0" w:beforeAutospacing="0" w:after="0" w:afterLines="0" w:afterAutospacing="0" w:line="495" w:lineRule="atLeast"/>
        <w:ind w:left="0" w:leftChars="0" w:firstLine="880" w:firstLineChars="200"/>
        <w:jc w:val="center"/>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规范行政确认裁量权细化标准表（共</w:t>
      </w:r>
      <w:r>
        <w:rPr>
          <w:rFonts w:hint="eastAsia" w:ascii="方正小标宋简体" w:hAnsi="方正小标宋简体" w:eastAsia="方正小标宋简体" w:cs="方正小标宋简体"/>
          <w:color w:val="auto"/>
          <w:sz w:val="44"/>
          <w:szCs w:val="44"/>
          <w:shd w:val="clear" w:color="auto" w:fill="FFFFFF"/>
          <w:lang w:val="en-US" w:eastAsia="zh-CN"/>
        </w:rPr>
        <w:t>4</w:t>
      </w:r>
      <w:r>
        <w:rPr>
          <w:rFonts w:hint="eastAsia" w:ascii="方正小标宋简体" w:hAnsi="方正小标宋简体" w:eastAsia="方正小标宋简体" w:cs="方正小标宋简体"/>
          <w:color w:val="auto"/>
          <w:sz w:val="44"/>
          <w:szCs w:val="44"/>
          <w:shd w:val="clear" w:color="auto" w:fill="FFFFFF"/>
        </w:rPr>
        <w:t>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（第1项）</w:t>
      </w:r>
    </w:p>
    <w:tbl>
      <w:tblPr>
        <w:tblStyle w:val="7"/>
        <w:tblpPr w:leftFromText="180" w:rightFromText="180" w:vertAnchor="text" w:horzAnchor="page" w:tblpX="869" w:tblpY="682"/>
        <w:tblOverlap w:val="never"/>
        <w:tblW w:w="15493" w:type="dxa"/>
        <w:tblCellSpacing w:w="0" w:type="dxa"/>
        <w:tblInd w:w="0" w:type="dxa"/>
        <w:shd w:val="clear" w:color="auto" w:fill="FFFFFF"/>
        <w:tblLayout w:type="fixed"/>
        <w:tblCellMar>
          <w:top w:w="0" w:type="dxa"/>
          <w:left w:w="0" w:type="dxa"/>
          <w:bottom w:w="0" w:type="dxa"/>
          <w:right w:w="0" w:type="dxa"/>
        </w:tblCellMar>
      </w:tblPr>
      <w:tblGrid>
        <w:gridCol w:w="645"/>
        <w:gridCol w:w="929"/>
        <w:gridCol w:w="13919"/>
      </w:tblGrid>
      <w:tr>
        <w:tblPrEx>
          <w:shd w:val="clear" w:color="auto" w:fill="FFFFFF"/>
          <w:tblLayout w:type="fixed"/>
          <w:tblCellMar>
            <w:top w:w="0" w:type="dxa"/>
            <w:left w:w="0" w:type="dxa"/>
            <w:bottom w:w="0" w:type="dxa"/>
            <w:right w:w="0" w:type="dxa"/>
          </w:tblCellMar>
        </w:tblPrEx>
        <w:trPr>
          <w:trHeight w:val="444" w:hRule="atLeast"/>
          <w:tblCellSpacing w:w="0" w:type="dxa"/>
        </w:trPr>
        <w:tc>
          <w:tcPr>
            <w:tcW w:w="64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4"/>
              <w:widowControl/>
              <w:spacing w:before="150" w:beforeLines="0" w:beforeAutospacing="0" w:after="0" w:afterLines="0" w:afterAutospacing="0" w:line="240" w:lineRule="atLeast"/>
              <w:ind w:left="0" w:leftChars="0" w:firstLine="0" w:firstLineChars="0"/>
              <w:jc w:val="both"/>
              <w:rPr>
                <w:rFonts w:hint="eastAsia" w:eastAsia="黑体"/>
                <w:color w:val="auto"/>
                <w:lang w:eastAsia="zh-CN"/>
              </w:rPr>
            </w:pPr>
            <w:r>
              <w:rPr>
                <w:rFonts w:hint="eastAsia" w:ascii="黑体" w:hAnsi="宋体" w:eastAsia="黑体" w:cs="黑体"/>
                <w:color w:val="auto"/>
                <w:lang w:eastAsia="zh-CN"/>
              </w:rPr>
              <w:t>序号</w:t>
            </w:r>
          </w:p>
        </w:tc>
        <w:tc>
          <w:tcPr>
            <w:tcW w:w="92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4"/>
              <w:widowControl/>
              <w:spacing w:before="150" w:beforeLines="0" w:beforeAutospacing="0" w:after="0" w:afterLines="0" w:afterAutospacing="0" w:line="240" w:lineRule="atLeast"/>
              <w:ind w:left="0" w:leftChars="0" w:firstLine="0" w:firstLineChars="0"/>
              <w:rPr>
                <w:color w:val="auto"/>
                <w:sz w:val="21"/>
                <w:szCs w:val="21"/>
              </w:rPr>
            </w:pPr>
            <w:r>
              <w:rPr>
                <w:rFonts w:hint="eastAsia" w:ascii="黑体" w:hAnsi="宋体" w:eastAsia="黑体" w:cs="黑体"/>
                <w:color w:val="auto"/>
                <w:sz w:val="21"/>
                <w:szCs w:val="21"/>
              </w:rPr>
              <w:t>行政确认</w:t>
            </w:r>
            <w:r>
              <w:rPr>
                <w:rFonts w:hint="eastAsia" w:ascii="黑体" w:hAnsi="宋体" w:eastAsia="黑体" w:cs="黑体"/>
                <w:color w:val="auto"/>
                <w:sz w:val="21"/>
                <w:szCs w:val="21"/>
                <w:lang w:eastAsia="zh-CN"/>
              </w:rPr>
              <w:t>事</w:t>
            </w:r>
            <w:r>
              <w:rPr>
                <w:rFonts w:hint="eastAsia" w:ascii="黑体" w:hAnsi="宋体" w:eastAsia="黑体" w:cs="黑体"/>
                <w:color w:val="auto"/>
                <w:sz w:val="21"/>
                <w:szCs w:val="21"/>
              </w:rPr>
              <w:t>项</w:t>
            </w:r>
          </w:p>
        </w:tc>
        <w:tc>
          <w:tcPr>
            <w:tcW w:w="1391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240" w:lineRule="atLeast"/>
              <w:jc w:val="center"/>
              <w:rPr>
                <w:color w:val="auto"/>
              </w:rPr>
            </w:pPr>
            <w:r>
              <w:rPr>
                <w:rFonts w:hint="eastAsia" w:ascii="黑体" w:hAnsi="宋体" w:eastAsia="黑体" w:cs="黑体"/>
                <w:color w:val="auto"/>
              </w:rPr>
              <w:t>批准利用原有宅基地进行重建农村住宅</w:t>
            </w:r>
          </w:p>
        </w:tc>
      </w:tr>
      <w:tr>
        <w:tblPrEx>
          <w:tblLayout w:type="fixed"/>
          <w:tblCellMar>
            <w:top w:w="0" w:type="dxa"/>
            <w:left w:w="0" w:type="dxa"/>
            <w:bottom w:w="0" w:type="dxa"/>
            <w:right w:w="0" w:type="dxa"/>
          </w:tblCellMar>
        </w:tblPrEx>
        <w:trPr>
          <w:trHeight w:val="2695" w:hRule="atLeast"/>
          <w:tblCellSpacing w:w="0" w:type="dxa"/>
        </w:trPr>
        <w:tc>
          <w:tcPr>
            <w:tcW w:w="64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240" w:lineRule="atLeast"/>
              <w:ind w:left="0" w:leftChars="0" w:firstLine="0" w:firstLineChars="0"/>
              <w:jc w:val="center"/>
              <w:rPr>
                <w:color w:val="auto"/>
              </w:rPr>
            </w:pPr>
            <w:r>
              <w:rPr>
                <w:rFonts w:hint="eastAsia" w:ascii="仿宋" w:hAnsi="仿宋" w:eastAsia="仿宋" w:cs="仿宋"/>
                <w:color w:val="auto"/>
                <w:sz w:val="21"/>
                <w:szCs w:val="21"/>
              </w:rPr>
              <w:t>1</w:t>
            </w:r>
          </w:p>
        </w:tc>
        <w:tc>
          <w:tcPr>
            <w:tcW w:w="92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outlineLvl w:val="9"/>
              <w:rPr>
                <w:color w:val="auto"/>
                <w:sz w:val="21"/>
                <w:szCs w:val="21"/>
              </w:rPr>
            </w:pPr>
            <w:r>
              <w:rPr>
                <w:rFonts w:hint="eastAsia" w:ascii="仿宋" w:hAnsi="仿宋" w:eastAsia="仿宋" w:cs="仿宋"/>
                <w:color w:val="auto"/>
                <w:sz w:val="21"/>
                <w:szCs w:val="21"/>
              </w:rPr>
              <w:t>法律依据</w:t>
            </w:r>
          </w:p>
        </w:tc>
        <w:tc>
          <w:tcPr>
            <w:tcW w:w="13919"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仿宋_GB2312" w:hAnsi="微软雅黑" w:eastAsia="仿宋_GB2312" w:cs="仿宋_GB2312"/>
                <w:b/>
                <w:bCs/>
                <w:color w:val="auto"/>
                <w:sz w:val="22"/>
                <w:szCs w:val="22"/>
              </w:rPr>
            </w:pPr>
            <w:r>
              <w:rPr>
                <w:rFonts w:hint="eastAsia" w:ascii="仿宋_GB2312" w:hAnsi="微软雅黑" w:eastAsia="仿宋_GB2312" w:cs="仿宋_GB2312"/>
                <w:b/>
                <w:bCs/>
                <w:color w:val="auto"/>
                <w:sz w:val="22"/>
                <w:szCs w:val="22"/>
              </w:rPr>
              <w:t>1.【行政法规】《村庄和集镇规划建设管理条例》（1993年国务院令第116号）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仿宋_GB2312" w:hAnsi="微软雅黑" w:eastAsia="仿宋_GB2312" w:cs="仿宋_GB2312"/>
                <w:color w:val="auto"/>
                <w:sz w:val="22"/>
                <w:szCs w:val="22"/>
              </w:rPr>
            </w:pPr>
            <w:r>
              <w:rPr>
                <w:rFonts w:hint="eastAsia" w:ascii="仿宋_GB2312" w:hAnsi="微软雅黑" w:eastAsia="仿宋_GB2312" w:cs="仿宋_GB2312"/>
                <w:b/>
                <w:bCs/>
                <w:color w:val="auto"/>
                <w:sz w:val="22"/>
                <w:szCs w:val="22"/>
              </w:rPr>
              <w:t>第十八条第一款</w:t>
            </w:r>
            <w:r>
              <w:rPr>
                <w:rFonts w:hint="eastAsia" w:ascii="仿宋_GB2312" w:hAnsi="微软雅黑" w:eastAsia="仿宋_GB2312" w:cs="仿宋_GB2312"/>
                <w:color w:val="auto"/>
                <w:sz w:val="22"/>
                <w:szCs w:val="22"/>
              </w:rPr>
              <w:t xml:space="preserve">  农村村民在村庄、集镇规划区内建住宅的，应当先向村集体经济组织或者村民委员会提出建房申请，经村民会议讨论通过后，按照下列审批程序办理：使用原有宅基地、村内空闲地和其他土地的，由乡级人民政府根据村庄、集镇规划和土地利用规划批准。</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仿宋_GB2312" w:hAnsi="微软雅黑" w:eastAsia="仿宋_GB2312" w:cs="仿宋_GB2312"/>
                <w:b/>
                <w:bCs/>
                <w:color w:val="auto"/>
                <w:sz w:val="22"/>
                <w:szCs w:val="22"/>
              </w:rPr>
            </w:pPr>
            <w:r>
              <w:rPr>
                <w:rFonts w:hint="eastAsia" w:ascii="仿宋_GB2312" w:hAnsi="微软雅黑" w:eastAsia="仿宋_GB2312" w:cs="仿宋_GB2312"/>
                <w:b/>
                <w:bCs/>
                <w:color w:val="auto"/>
                <w:sz w:val="22"/>
                <w:szCs w:val="22"/>
              </w:rPr>
              <w:t>2.【地方性法规】《宁夏回族自治区实施〈中华人民共和国城乡规划法〉办法》（2014年）</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仿宋_GB2312" w:hAnsi="微软雅黑" w:eastAsia="仿宋_GB2312" w:cs="仿宋_GB2312"/>
                <w:color w:val="auto"/>
                <w:sz w:val="22"/>
                <w:szCs w:val="22"/>
              </w:rPr>
            </w:pPr>
            <w:r>
              <w:rPr>
                <w:rFonts w:hint="eastAsia" w:ascii="仿宋_GB2312" w:hAnsi="微软雅黑" w:eastAsia="仿宋_GB2312" w:cs="仿宋_GB2312"/>
                <w:b/>
                <w:bCs/>
                <w:color w:val="auto"/>
                <w:sz w:val="22"/>
                <w:szCs w:val="22"/>
              </w:rPr>
              <w:t>第三十二条</w:t>
            </w:r>
            <w:r>
              <w:rPr>
                <w:rFonts w:hint="eastAsia" w:ascii="仿宋_GB2312" w:hAnsi="微软雅黑" w:eastAsia="仿宋_GB2312" w:cs="仿宋_GB2312"/>
                <w:color w:val="auto"/>
                <w:sz w:val="22"/>
                <w:szCs w:val="22"/>
              </w:rPr>
              <w:t xml:space="preserve">  农村村民在乡、村庄规划区内使用原有宅基地建造住宅的，应当持村民委员会书面意见、户籍证明和建造住宅相关图件向乡、镇人民政府提出书面申请，乡、镇人民政府应当自受理申请之日起十日内对符合乡规划或者村庄规划的核发乡村建设规划许可证；对不符合乡规划或者村庄规划的，不予核发，书面告知申请人并说明理由。</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仿宋_GB2312" w:hAnsi="微软雅黑" w:eastAsia="仿宋_GB2312" w:cs="仿宋_GB2312"/>
                <w:b/>
                <w:bCs/>
                <w:color w:val="auto"/>
                <w:sz w:val="22"/>
                <w:szCs w:val="22"/>
              </w:rPr>
            </w:pPr>
            <w:r>
              <w:rPr>
                <w:rFonts w:hint="eastAsia" w:ascii="仿宋_GB2312" w:hAnsi="微软雅黑" w:eastAsia="仿宋_GB2312" w:cs="仿宋_GB2312"/>
                <w:b/>
                <w:bCs/>
                <w:color w:val="auto"/>
                <w:sz w:val="22"/>
                <w:szCs w:val="22"/>
              </w:rPr>
              <w:t>3.【地方政府规章】《宁夏回族自治区村庄和集镇规划建设管理实施办法》（2014年修正）</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color w:val="auto"/>
              </w:rPr>
            </w:pPr>
            <w:r>
              <w:rPr>
                <w:rFonts w:hint="eastAsia" w:ascii="仿宋_GB2312" w:hAnsi="微软雅黑" w:eastAsia="仿宋_GB2312" w:cs="仿宋_GB2312"/>
                <w:b/>
                <w:bCs/>
                <w:color w:val="auto"/>
                <w:sz w:val="22"/>
                <w:szCs w:val="22"/>
              </w:rPr>
              <w:t>第十三条第二款</w:t>
            </w:r>
            <w:r>
              <w:rPr>
                <w:rFonts w:hint="eastAsia" w:ascii="仿宋_GB2312" w:hAnsi="微软雅黑" w:eastAsia="仿宋_GB2312" w:cs="仿宋_GB2312"/>
                <w:color w:val="auto"/>
                <w:sz w:val="22"/>
                <w:szCs w:val="22"/>
              </w:rPr>
              <w:t xml:space="preserve">  农村村民使用原有宅基地、村内空闲地和其他土地建住宅的，由乡级人民政府根据村镇规划和土地利用规划批准后出具选址意见书。</w:t>
            </w:r>
          </w:p>
        </w:tc>
      </w:tr>
      <w:tr>
        <w:tblPrEx>
          <w:tblLayout w:type="fixed"/>
          <w:tblCellMar>
            <w:top w:w="0" w:type="dxa"/>
            <w:left w:w="0" w:type="dxa"/>
            <w:bottom w:w="0" w:type="dxa"/>
            <w:right w:w="0" w:type="dxa"/>
          </w:tblCellMar>
        </w:tblPrEx>
        <w:trPr>
          <w:trHeight w:val="455" w:hRule="atLeast"/>
          <w:tblCellSpacing w:w="0" w:type="dxa"/>
        </w:trPr>
        <w:tc>
          <w:tcPr>
            <w:tcW w:w="64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240" w:lineRule="atLeast"/>
              <w:ind w:left="0" w:leftChars="0" w:firstLine="0" w:firstLineChars="0"/>
              <w:jc w:val="center"/>
              <w:rPr>
                <w:color w:val="auto"/>
              </w:rPr>
            </w:pPr>
            <w:r>
              <w:rPr>
                <w:rFonts w:hint="eastAsia" w:ascii="仿宋" w:hAnsi="仿宋" w:eastAsia="仿宋" w:cs="仿宋"/>
                <w:color w:val="auto"/>
                <w:sz w:val="21"/>
                <w:szCs w:val="21"/>
              </w:rPr>
              <w:t>2</w:t>
            </w:r>
          </w:p>
        </w:tc>
        <w:tc>
          <w:tcPr>
            <w:tcW w:w="92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color w:val="auto"/>
                <w:sz w:val="21"/>
                <w:szCs w:val="21"/>
              </w:rPr>
            </w:pPr>
            <w:r>
              <w:rPr>
                <w:rFonts w:hint="eastAsia" w:ascii="仿宋" w:hAnsi="仿宋" w:eastAsia="仿宋" w:cs="仿宋"/>
                <w:color w:val="auto"/>
                <w:sz w:val="21"/>
                <w:szCs w:val="21"/>
              </w:rPr>
              <w:t>行政确认条件</w:t>
            </w:r>
          </w:p>
        </w:tc>
        <w:tc>
          <w:tcPr>
            <w:tcW w:w="1391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color w:val="auto"/>
              </w:rPr>
            </w:pPr>
            <w:r>
              <w:rPr>
                <w:rFonts w:hint="eastAsia" w:ascii="仿宋_GB2312" w:hAnsi="微软雅黑" w:eastAsia="仿宋_GB2312" w:cs="仿宋_GB2312"/>
                <w:color w:val="auto"/>
                <w:sz w:val="22"/>
                <w:szCs w:val="22"/>
              </w:rPr>
              <w:t>1.户口所在地位于沙坡头区各乡镇各村民小组；2.符合一户一宅规定；3.原有宅基地土地利用性质属于建设用地。</w:t>
            </w:r>
          </w:p>
        </w:tc>
      </w:tr>
      <w:tr>
        <w:tblPrEx>
          <w:tblLayout w:type="fixed"/>
          <w:tblCellMar>
            <w:top w:w="0" w:type="dxa"/>
            <w:left w:w="0" w:type="dxa"/>
            <w:bottom w:w="0" w:type="dxa"/>
            <w:right w:w="0" w:type="dxa"/>
          </w:tblCellMar>
        </w:tblPrEx>
        <w:trPr>
          <w:trHeight w:val="630" w:hRule="atLeast"/>
          <w:tblCellSpacing w:w="0" w:type="dxa"/>
        </w:trPr>
        <w:tc>
          <w:tcPr>
            <w:tcW w:w="64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240" w:lineRule="atLeast"/>
              <w:ind w:left="0" w:leftChars="0" w:firstLine="0" w:firstLineChars="0"/>
              <w:jc w:val="center"/>
              <w:rPr>
                <w:rFonts w:hint="eastAsia" w:eastAsia="仿宋_GB2312"/>
                <w:color w:val="auto"/>
                <w:lang w:val="en-US" w:eastAsia="zh-CN"/>
              </w:rPr>
            </w:pPr>
            <w:r>
              <w:rPr>
                <w:rFonts w:hint="eastAsia"/>
                <w:color w:val="auto"/>
                <w:lang w:val="en-US" w:eastAsia="zh-CN"/>
              </w:rPr>
              <w:t>3</w:t>
            </w:r>
          </w:p>
        </w:tc>
        <w:tc>
          <w:tcPr>
            <w:tcW w:w="92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center"/>
              <w:textAlignment w:val="auto"/>
              <w:outlineLvl w:val="9"/>
              <w:rPr>
                <w:color w:val="auto"/>
                <w:sz w:val="21"/>
                <w:szCs w:val="21"/>
              </w:rPr>
            </w:pPr>
            <w:r>
              <w:rPr>
                <w:rFonts w:hint="eastAsia" w:ascii="仿宋" w:hAnsi="仿宋" w:eastAsia="仿宋" w:cs="仿宋"/>
                <w:color w:val="auto"/>
                <w:sz w:val="21"/>
                <w:szCs w:val="21"/>
              </w:rPr>
              <w:t>申请材料</w:t>
            </w:r>
          </w:p>
        </w:tc>
        <w:tc>
          <w:tcPr>
            <w:tcW w:w="13919"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left"/>
              <w:textAlignment w:val="auto"/>
              <w:outlineLvl w:val="9"/>
              <w:rPr>
                <w:color w:val="auto"/>
              </w:rPr>
            </w:pPr>
            <w:r>
              <w:rPr>
                <w:rFonts w:ascii="仿宋_GB2312" w:hAnsi="微软雅黑" w:eastAsia="仿宋_GB2312" w:cs="仿宋_GB2312"/>
                <w:color w:val="auto"/>
                <w:sz w:val="22"/>
                <w:szCs w:val="22"/>
              </w:rPr>
              <w:t>1.</w:t>
            </w:r>
            <w:r>
              <w:rPr>
                <w:rFonts w:hint="eastAsia" w:ascii="仿宋_GB2312" w:hAnsi="微软雅黑" w:eastAsia="仿宋_GB2312" w:cs="仿宋_GB2312"/>
                <w:color w:val="auto"/>
                <w:sz w:val="22"/>
                <w:szCs w:val="22"/>
              </w:rPr>
              <w:t>农村住房建设规划许可证申请审批表（由村民小组、村委会逐级审批）；2.户主身份证复印件；3.户主及家庭成员户口册复印件；4.村小组、村委会公示结果；5.规范的建房平、立面图；6.建房施工协议（本人与施工方签订后提供）；7.《农村建房承诺书》和《施工安全责任书》；8.原有土地、规划两证复印件（若未办理过，可不提供）</w:t>
            </w:r>
            <w:r>
              <w:rPr>
                <w:rFonts w:hint="eastAsia" w:ascii="仿宋_GB2312" w:hAnsi="微软雅黑" w:eastAsia="仿宋_GB2312" w:cs="仿宋_GB2312"/>
                <w:color w:val="auto"/>
              </w:rPr>
              <w:t>。</w:t>
            </w:r>
          </w:p>
        </w:tc>
      </w:tr>
      <w:tr>
        <w:tblPrEx>
          <w:tblLayout w:type="fixed"/>
          <w:tblCellMar>
            <w:top w:w="0" w:type="dxa"/>
            <w:left w:w="0" w:type="dxa"/>
            <w:bottom w:w="0" w:type="dxa"/>
            <w:right w:w="0" w:type="dxa"/>
          </w:tblCellMar>
        </w:tblPrEx>
        <w:trPr>
          <w:trHeight w:val="600" w:hRule="atLeast"/>
          <w:tblCellSpacing w:w="0" w:type="dxa"/>
        </w:trPr>
        <w:tc>
          <w:tcPr>
            <w:tcW w:w="64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240" w:lineRule="atLeast"/>
              <w:ind w:left="0" w:leftChars="0" w:firstLine="0" w:firstLineChars="0"/>
              <w:jc w:val="center"/>
              <w:rPr>
                <w:color w:val="auto"/>
              </w:rPr>
            </w:pPr>
            <w:r>
              <w:rPr>
                <w:rFonts w:hint="eastAsia" w:ascii="仿宋" w:hAnsi="仿宋" w:eastAsia="仿宋" w:cs="仿宋"/>
                <w:color w:val="auto"/>
                <w:sz w:val="21"/>
                <w:szCs w:val="21"/>
              </w:rPr>
              <w:t>4</w:t>
            </w:r>
          </w:p>
        </w:tc>
        <w:tc>
          <w:tcPr>
            <w:tcW w:w="92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outlineLvl w:val="9"/>
              <w:rPr>
                <w:color w:val="auto"/>
                <w:sz w:val="21"/>
                <w:szCs w:val="21"/>
              </w:rPr>
            </w:pPr>
            <w:r>
              <w:rPr>
                <w:rFonts w:hint="eastAsia" w:ascii="仿宋" w:hAnsi="仿宋" w:eastAsia="仿宋" w:cs="仿宋"/>
                <w:color w:val="auto"/>
                <w:sz w:val="21"/>
                <w:szCs w:val="21"/>
              </w:rPr>
              <w:t>行政确认办理流程</w:t>
            </w:r>
          </w:p>
        </w:tc>
        <w:tc>
          <w:tcPr>
            <w:tcW w:w="1391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仿宋_GB2312" w:hAnsi="微软雅黑" w:eastAsia="仿宋_GB2312" w:cs="仿宋_GB2312"/>
                <w:color w:val="auto"/>
                <w:sz w:val="22"/>
                <w:szCs w:val="22"/>
              </w:rPr>
            </w:pPr>
            <w:r>
              <w:rPr>
                <w:rFonts w:ascii="仿宋_GB2312" w:hAnsi="微软雅黑" w:eastAsia="仿宋_GB2312" w:cs="仿宋_GB2312"/>
                <w:color w:val="auto"/>
                <w:sz w:val="22"/>
                <w:szCs w:val="22"/>
              </w:rPr>
              <w:t>1.</w:t>
            </w:r>
            <w:r>
              <w:rPr>
                <w:rFonts w:hint="eastAsia" w:ascii="仿宋_GB2312" w:hAnsi="微软雅黑" w:eastAsia="仿宋_GB2312" w:cs="仿宋_GB2312"/>
                <w:color w:val="auto"/>
                <w:sz w:val="22"/>
                <w:szCs w:val="22"/>
              </w:rPr>
              <w:t>受理：户主向户口所在村委会提出建房申请；2.实地勘察现场；3.村民小组、村委会审核、审批、公示；4.政府审批、办理开工许可：</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color w:val="auto"/>
              </w:rPr>
            </w:pPr>
            <w:r>
              <w:rPr>
                <w:rFonts w:hint="eastAsia" w:ascii="仿宋_GB2312" w:hAnsi="微软雅黑" w:eastAsia="仿宋_GB2312" w:cs="仿宋_GB2312"/>
                <w:color w:val="auto"/>
                <w:sz w:val="22"/>
                <w:szCs w:val="22"/>
              </w:rPr>
              <w:t>5.竣工验收；6.办理《乡村建设规划许可证》。</w:t>
            </w:r>
          </w:p>
        </w:tc>
      </w:tr>
      <w:tr>
        <w:tblPrEx>
          <w:tblLayout w:type="fixed"/>
          <w:tblCellMar>
            <w:top w:w="0" w:type="dxa"/>
            <w:left w:w="0" w:type="dxa"/>
            <w:bottom w:w="0" w:type="dxa"/>
            <w:right w:w="0" w:type="dxa"/>
          </w:tblCellMar>
        </w:tblPrEx>
        <w:trPr>
          <w:trHeight w:val="190" w:hRule="atLeast"/>
          <w:tblCellSpacing w:w="0" w:type="dxa"/>
        </w:trPr>
        <w:tc>
          <w:tcPr>
            <w:tcW w:w="64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5</w:t>
            </w:r>
          </w:p>
        </w:tc>
        <w:tc>
          <w:tcPr>
            <w:tcW w:w="92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both"/>
              <w:textAlignment w:val="auto"/>
              <w:outlineLvl w:val="9"/>
              <w:rPr>
                <w:color w:val="auto"/>
              </w:rPr>
            </w:pPr>
            <w:r>
              <w:rPr>
                <w:rFonts w:hint="eastAsia" w:ascii="仿宋" w:hAnsi="仿宋" w:eastAsia="仿宋" w:cs="仿宋"/>
                <w:color w:val="auto"/>
              </w:rPr>
              <w:t>时限</w:t>
            </w:r>
          </w:p>
        </w:tc>
        <w:tc>
          <w:tcPr>
            <w:tcW w:w="13919"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color w:val="auto"/>
              </w:rPr>
            </w:pPr>
            <w:r>
              <w:rPr>
                <w:rFonts w:hint="eastAsia" w:ascii="仿宋_GB2312" w:hAnsi="微软雅黑" w:eastAsia="仿宋_GB2312" w:cs="仿宋_GB2312"/>
                <w:color w:val="auto"/>
                <w:sz w:val="22"/>
                <w:szCs w:val="22"/>
              </w:rPr>
              <w:t>15个工作日完成审批手续。</w:t>
            </w: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30" w:beforeLines="0" w:beforeAutospacing="0" w:after="0" w:afterLines="0" w:afterAutospacing="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shd w:val="clear" w:color="auto" w:fill="FFFFFF"/>
        </w:rPr>
      </w:pPr>
      <w:bookmarkStart w:id="1" w:name="_Toc2826"/>
      <w:r>
        <w:rPr>
          <w:rFonts w:hint="eastAsia" w:ascii="方正小标宋_GBK" w:hAnsi="方正小标宋_GBK" w:eastAsia="方正小标宋_GBK" w:cs="方正小标宋_GBK"/>
          <w:color w:val="auto"/>
          <w:sz w:val="44"/>
          <w:szCs w:val="44"/>
          <w:shd w:val="clear" w:color="auto" w:fill="FFFFFF"/>
        </w:rPr>
        <w:t>(第2项)</w:t>
      </w:r>
      <w:bookmarkEnd w:id="1"/>
    </w:p>
    <w:tbl>
      <w:tblPr>
        <w:tblStyle w:val="7"/>
        <w:tblpPr w:leftFromText="180" w:rightFromText="180" w:vertAnchor="text" w:horzAnchor="page" w:tblpX="892" w:tblpY="693"/>
        <w:tblOverlap w:val="never"/>
        <w:tblW w:w="15290" w:type="dxa"/>
        <w:tblCellSpacing w:w="0" w:type="dxa"/>
        <w:tblInd w:w="0" w:type="dxa"/>
        <w:shd w:val="clear" w:color="auto" w:fill="FFFFFF"/>
        <w:tblLayout w:type="fixed"/>
        <w:tblCellMar>
          <w:top w:w="0" w:type="dxa"/>
          <w:left w:w="0" w:type="dxa"/>
          <w:bottom w:w="0" w:type="dxa"/>
          <w:right w:w="0" w:type="dxa"/>
        </w:tblCellMar>
      </w:tblPr>
      <w:tblGrid>
        <w:gridCol w:w="409"/>
        <w:gridCol w:w="982"/>
        <w:gridCol w:w="13899"/>
      </w:tblGrid>
      <w:tr>
        <w:tblPrEx>
          <w:shd w:val="clear" w:color="auto" w:fill="FFFFFF"/>
          <w:tblLayout w:type="fixed"/>
          <w:tblCellMar>
            <w:top w:w="0" w:type="dxa"/>
            <w:left w:w="0" w:type="dxa"/>
            <w:bottom w:w="0" w:type="dxa"/>
            <w:right w:w="0" w:type="dxa"/>
          </w:tblCellMar>
        </w:tblPrEx>
        <w:trPr>
          <w:tblCellSpacing w:w="0" w:type="dxa"/>
        </w:trPr>
        <w:tc>
          <w:tcPr>
            <w:tcW w:w="409"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textAlignment w:val="auto"/>
              <w:outlineLvl w:val="9"/>
              <w:rPr>
                <w:color w:val="auto"/>
              </w:rPr>
            </w:pPr>
            <w:r>
              <w:rPr>
                <w:rFonts w:hint="eastAsia" w:ascii="黑体" w:hAnsi="宋体" w:eastAsia="黑体" w:cs="黑体"/>
                <w:color w:val="auto"/>
              </w:rPr>
              <w:t>序号</w:t>
            </w:r>
          </w:p>
        </w:tc>
        <w:tc>
          <w:tcPr>
            <w:tcW w:w="982"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center"/>
              <w:textAlignment w:val="auto"/>
              <w:outlineLvl w:val="9"/>
              <w:rPr>
                <w:color w:val="auto"/>
              </w:rPr>
            </w:pPr>
            <w:r>
              <w:rPr>
                <w:rFonts w:hint="eastAsia" w:ascii="黑体" w:hAnsi="宋体" w:eastAsia="黑体" w:cs="黑体"/>
                <w:color w:val="auto"/>
              </w:rPr>
              <w:t>行政确认事项</w:t>
            </w:r>
          </w:p>
        </w:tc>
        <w:tc>
          <w:tcPr>
            <w:tcW w:w="1389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center"/>
              <w:textAlignment w:val="auto"/>
              <w:outlineLvl w:val="9"/>
              <w:rPr>
                <w:color w:val="auto"/>
              </w:rPr>
            </w:pPr>
            <w:r>
              <w:rPr>
                <w:rFonts w:hint="eastAsia" w:ascii="黑体" w:hAnsi="宋体" w:eastAsia="黑体" w:cs="黑体"/>
                <w:color w:val="auto"/>
              </w:rPr>
              <w:t>特困人员供养</w:t>
            </w:r>
          </w:p>
        </w:tc>
      </w:tr>
      <w:tr>
        <w:tblPrEx>
          <w:shd w:val="clear" w:color="auto" w:fill="FFFFFF"/>
          <w:tblLayout w:type="fixed"/>
          <w:tblCellMar>
            <w:top w:w="0" w:type="dxa"/>
            <w:left w:w="0" w:type="dxa"/>
            <w:bottom w:w="0" w:type="dxa"/>
            <w:right w:w="0" w:type="dxa"/>
          </w:tblCellMar>
        </w:tblPrEx>
        <w:trPr>
          <w:tblCellSpacing w:w="0" w:type="dxa"/>
        </w:trPr>
        <w:tc>
          <w:tcPr>
            <w:tcW w:w="40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240" w:lineRule="atLeast"/>
              <w:jc w:val="center"/>
              <w:rPr>
                <w:color w:val="auto"/>
              </w:rPr>
            </w:pPr>
            <w:r>
              <w:rPr>
                <w:rFonts w:hint="eastAsia" w:ascii="仿宋" w:hAnsi="仿宋" w:eastAsia="仿宋" w:cs="仿宋"/>
                <w:color w:val="auto"/>
                <w:sz w:val="21"/>
                <w:szCs w:val="21"/>
              </w:rPr>
              <w:t>1</w:t>
            </w:r>
          </w:p>
        </w:tc>
        <w:tc>
          <w:tcPr>
            <w:tcW w:w="98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240" w:lineRule="atLeast"/>
              <w:ind w:left="0" w:leftChars="0" w:firstLine="0" w:firstLineChars="0"/>
              <w:jc w:val="both"/>
              <w:rPr>
                <w:color w:val="auto"/>
              </w:rPr>
            </w:pPr>
            <w:r>
              <w:rPr>
                <w:rFonts w:hint="eastAsia" w:ascii="仿宋" w:hAnsi="仿宋" w:eastAsia="仿宋" w:cs="仿宋"/>
                <w:color w:val="auto"/>
              </w:rPr>
              <w:t>法律依据</w:t>
            </w:r>
          </w:p>
        </w:tc>
        <w:tc>
          <w:tcPr>
            <w:tcW w:w="13899"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left"/>
              <w:textAlignment w:val="auto"/>
              <w:outlineLvl w:val="9"/>
              <w:rPr>
                <w:rFonts w:hint="eastAsia" w:ascii="仿宋_GB2312" w:hAnsi="微软雅黑" w:eastAsia="仿宋_GB2312" w:cs="仿宋_GB2312"/>
                <w:b/>
                <w:bCs/>
                <w:color w:val="auto"/>
                <w:sz w:val="22"/>
                <w:szCs w:val="22"/>
              </w:rPr>
            </w:pPr>
            <w:r>
              <w:rPr>
                <w:rFonts w:hint="eastAsia" w:ascii="仿宋_GB2312" w:hAnsi="微软雅黑" w:eastAsia="仿宋_GB2312" w:cs="仿宋_GB2312"/>
                <w:b/>
                <w:bCs/>
                <w:color w:val="auto"/>
                <w:sz w:val="22"/>
                <w:szCs w:val="22"/>
              </w:rPr>
              <w:t>1.【地方政府规章】《宁夏回族自治区流动人口服务管理办法》（2012年自治区政府令第49号）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left"/>
              <w:textAlignment w:val="auto"/>
              <w:outlineLvl w:val="9"/>
              <w:rPr>
                <w:rFonts w:hint="eastAsia" w:ascii="仿宋_GB2312" w:hAnsi="微软雅黑" w:eastAsia="仿宋_GB2312" w:cs="仿宋_GB2312"/>
                <w:color w:val="auto"/>
                <w:sz w:val="22"/>
                <w:szCs w:val="22"/>
              </w:rPr>
            </w:pPr>
            <w:r>
              <w:rPr>
                <w:rFonts w:hint="eastAsia" w:ascii="仿宋_GB2312" w:hAnsi="微软雅黑" w:eastAsia="仿宋_GB2312" w:cs="仿宋_GB2312"/>
                <w:b/>
                <w:bCs/>
                <w:color w:val="auto"/>
                <w:sz w:val="22"/>
                <w:szCs w:val="22"/>
              </w:rPr>
              <w:t>第二十条第二款</w:t>
            </w:r>
            <w:r>
              <w:rPr>
                <w:rFonts w:hint="eastAsia" w:ascii="仿宋_GB2312" w:hAnsi="微软雅黑" w:eastAsia="仿宋_GB2312" w:cs="仿宋_GB2312"/>
                <w:color w:val="auto"/>
                <w:sz w:val="22"/>
                <w:szCs w:val="22"/>
              </w:rPr>
              <w:t xml:space="preserve"> 乡（镇）人民政府、公安派出所、村民委员会，均应当建立紧急救援响应机制，及时救助危困留守人员。【法律】《中华人民共和国残疾人保障法》（2008年修订）</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left"/>
              <w:textAlignment w:val="auto"/>
              <w:outlineLvl w:val="9"/>
              <w:rPr>
                <w:rFonts w:hint="eastAsia" w:ascii="仿宋_GB2312" w:hAnsi="微软雅黑" w:eastAsia="仿宋_GB2312" w:cs="仿宋_GB2312"/>
                <w:color w:val="auto"/>
                <w:sz w:val="22"/>
                <w:szCs w:val="22"/>
              </w:rPr>
            </w:pPr>
            <w:r>
              <w:rPr>
                <w:rFonts w:hint="eastAsia" w:ascii="仿宋_GB2312" w:hAnsi="微软雅黑" w:eastAsia="仿宋_GB2312" w:cs="仿宋_GB2312"/>
                <w:b/>
                <w:bCs/>
                <w:color w:val="auto"/>
                <w:sz w:val="22"/>
                <w:szCs w:val="22"/>
              </w:rPr>
              <w:t>第四十八条第一款 </w:t>
            </w:r>
            <w:r>
              <w:rPr>
                <w:rFonts w:hint="eastAsia" w:ascii="仿宋_GB2312" w:hAnsi="微软雅黑" w:eastAsia="仿宋_GB2312" w:cs="仿宋_GB2312"/>
                <w:color w:val="auto"/>
                <w:sz w:val="22"/>
                <w:szCs w:val="22"/>
              </w:rPr>
              <w:t>  各级人民政府对生活确有困难的残疾人，通过多种渠道给予生活、教育、住房和其他社会救助。</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left"/>
              <w:textAlignment w:val="auto"/>
              <w:outlineLvl w:val="9"/>
              <w:rPr>
                <w:rFonts w:hint="eastAsia" w:ascii="仿宋_GB2312" w:hAnsi="微软雅黑" w:eastAsia="仿宋_GB2312" w:cs="仿宋_GB2312"/>
                <w:color w:val="auto"/>
                <w:sz w:val="22"/>
                <w:szCs w:val="22"/>
              </w:rPr>
            </w:pPr>
            <w:r>
              <w:rPr>
                <w:rFonts w:hint="eastAsia" w:ascii="仿宋_GB2312" w:hAnsi="微软雅黑" w:eastAsia="仿宋_GB2312" w:cs="仿宋_GB2312"/>
                <w:b/>
                <w:bCs/>
                <w:color w:val="auto"/>
                <w:sz w:val="22"/>
                <w:szCs w:val="22"/>
              </w:rPr>
              <w:t>第三款</w:t>
            </w:r>
            <w:r>
              <w:rPr>
                <w:rFonts w:hint="eastAsia" w:ascii="仿宋_GB2312" w:hAnsi="微软雅黑" w:eastAsia="仿宋_GB2312" w:cs="仿宋_GB2312"/>
                <w:color w:val="auto"/>
                <w:sz w:val="22"/>
                <w:szCs w:val="22"/>
              </w:rPr>
              <w:t xml:space="preserve">  各级人民政府对贫困残疾人的基本医疗、康复服务、必要的辅助器具的配置和更换，应当按照规定给予救助。</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left"/>
              <w:textAlignment w:val="auto"/>
              <w:outlineLvl w:val="9"/>
              <w:rPr>
                <w:rFonts w:hint="eastAsia" w:ascii="仿宋_GB2312" w:hAnsi="微软雅黑" w:eastAsia="仿宋_GB2312" w:cs="仿宋_GB2312"/>
                <w:color w:val="auto"/>
                <w:sz w:val="22"/>
                <w:szCs w:val="22"/>
              </w:rPr>
            </w:pPr>
            <w:r>
              <w:rPr>
                <w:rFonts w:hint="eastAsia" w:ascii="仿宋_GB2312" w:hAnsi="微软雅黑" w:eastAsia="仿宋_GB2312" w:cs="仿宋_GB2312"/>
                <w:b/>
                <w:bCs/>
                <w:color w:val="auto"/>
                <w:sz w:val="22"/>
                <w:szCs w:val="22"/>
              </w:rPr>
              <w:t>第四款</w:t>
            </w:r>
            <w:r>
              <w:rPr>
                <w:rFonts w:hint="eastAsia" w:ascii="仿宋_GB2312" w:hAnsi="微软雅黑" w:eastAsia="仿宋_GB2312" w:cs="仿宋_GB2312"/>
                <w:color w:val="auto"/>
                <w:sz w:val="22"/>
                <w:szCs w:val="22"/>
              </w:rPr>
              <w:t xml:space="preserve">  对生活不能自理的残疾人，地方各级人民政府应当根据情况给予护理补贴。</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left"/>
              <w:textAlignment w:val="auto"/>
              <w:outlineLvl w:val="9"/>
              <w:rPr>
                <w:rFonts w:hint="eastAsia" w:ascii="仿宋_GB2312" w:hAnsi="微软雅黑" w:eastAsia="仿宋_GB2312" w:cs="仿宋_GB2312"/>
                <w:b/>
                <w:bCs/>
                <w:color w:val="auto"/>
                <w:sz w:val="22"/>
                <w:szCs w:val="22"/>
              </w:rPr>
            </w:pPr>
            <w:r>
              <w:rPr>
                <w:rFonts w:hint="eastAsia" w:ascii="仿宋_GB2312" w:hAnsi="微软雅黑" w:eastAsia="仿宋_GB2312" w:cs="仿宋_GB2312"/>
                <w:b/>
                <w:bCs/>
                <w:color w:val="auto"/>
                <w:sz w:val="22"/>
                <w:szCs w:val="22"/>
              </w:rPr>
              <w:t>2.【规范性文件】《国务院关于全面建立困难残疾人生活补贴和重度残疾人护理补贴制度的意见》（国发〔2015〕52号）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right="0" w:rightChars="0"/>
              <w:jc w:val="left"/>
              <w:textAlignment w:val="auto"/>
              <w:outlineLvl w:val="9"/>
              <w:rPr>
                <w:rFonts w:hint="eastAsia" w:ascii="仿宋_GB2312" w:hAnsi="微软雅黑" w:eastAsia="仿宋_GB2312" w:cs="仿宋_GB2312"/>
                <w:color w:val="auto"/>
                <w:sz w:val="22"/>
                <w:szCs w:val="22"/>
              </w:rPr>
            </w:pPr>
            <w:r>
              <w:rPr>
                <w:rFonts w:hint="eastAsia" w:ascii="仿宋_GB2312" w:hAnsi="微软雅黑" w:eastAsia="仿宋_GB2312" w:cs="仿宋_GB2312"/>
                <w:b/>
                <w:bCs/>
                <w:color w:val="auto"/>
                <w:sz w:val="22"/>
                <w:szCs w:val="22"/>
              </w:rPr>
              <w:t>三、申领程序和管理办法</w:t>
            </w:r>
            <w:r>
              <w:rPr>
                <w:rFonts w:hint="eastAsia" w:ascii="仿宋_GB2312" w:hAnsi="仿宋_GB2312" w:eastAsia="仿宋_GB2312" w:cs="仿宋_GB2312"/>
                <w:color w:val="auto"/>
                <w:sz w:val="18"/>
                <w:szCs w:val="18"/>
              </w:rPr>
              <w:br w:type="textWrapping"/>
            </w:r>
            <w:r>
              <w:rPr>
                <w:rFonts w:hint="eastAsia" w:ascii="仿宋_GB2312" w:hAnsi="微软雅黑" w:eastAsia="仿宋_GB2312" w:cs="仿宋_GB2312"/>
                <w:color w:val="auto"/>
                <w:sz w:val="22"/>
                <w:szCs w:val="22"/>
              </w:rPr>
              <w:t>（一）自愿申请。残疾人两项补贴由残疾人向户籍所在地街道办事处或乡镇政府受理窗口提交书面申请。……。</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w:t>
            </w:r>
            <w:r>
              <w:rPr>
                <w:rFonts w:hint="eastAsia" w:ascii="仿宋_GB2312" w:hAnsi="微软雅黑" w:eastAsia="仿宋_GB2312" w:cs="仿宋_GB2312"/>
                <w:color w:val="auto"/>
                <w:sz w:val="22"/>
                <w:szCs w:val="22"/>
              </w:rPr>
              <w:t>二）逐级审核。街道办事处或乡镇政府依托社会救助、社会服务“一门受理、协同办理”机制，受理残疾人两项补贴申请并进行初审。初审合格材料报送县级残联进行相关核。……。</w:t>
            </w:r>
            <w:r>
              <w:rPr>
                <w:rFonts w:hint="eastAsia" w:ascii="仿宋_GB2312" w:hAnsi="微软雅黑" w:eastAsia="仿宋_GB2312" w:cs="仿宋_GB2312"/>
                <w:color w:val="auto"/>
                <w:sz w:val="22"/>
                <w:szCs w:val="22"/>
              </w:rPr>
              <w:br w:type="textWrapping"/>
            </w:r>
            <w:r>
              <w:rPr>
                <w:rFonts w:hint="eastAsia" w:ascii="仿宋_GB2312" w:hAnsi="微软雅黑" w:eastAsia="仿宋_GB2312" w:cs="仿宋_GB2312"/>
                <w:b/>
                <w:bCs/>
                <w:color w:val="auto"/>
                <w:sz w:val="22"/>
                <w:szCs w:val="22"/>
              </w:rPr>
              <w:t>3.【规范性文件】《宁夏回族自治区困难残疾人生活补贴办法》（宁政办发〔2015〕180号）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left"/>
              <w:textAlignment w:val="auto"/>
              <w:outlineLvl w:val="9"/>
              <w:rPr>
                <w:rFonts w:hint="eastAsia" w:ascii="仿宋_GB2312" w:hAnsi="微软雅黑" w:eastAsia="仿宋_GB2312" w:cs="仿宋_GB2312"/>
                <w:color w:val="auto"/>
                <w:sz w:val="22"/>
                <w:szCs w:val="22"/>
              </w:rPr>
            </w:pPr>
            <w:r>
              <w:rPr>
                <w:rFonts w:hint="eastAsia" w:ascii="仿宋_GB2312" w:hAnsi="微软雅黑" w:eastAsia="仿宋_GB2312" w:cs="仿宋_GB2312"/>
                <w:b/>
                <w:bCs/>
                <w:color w:val="auto"/>
                <w:sz w:val="22"/>
                <w:szCs w:val="22"/>
              </w:rPr>
              <w:t>第七条</w:t>
            </w:r>
            <w:r>
              <w:rPr>
                <w:rFonts w:hint="eastAsia" w:ascii="仿宋_GB2312" w:hAnsi="微软雅黑" w:eastAsia="仿宋_GB2312" w:cs="仿宋_GB2312"/>
                <w:color w:val="auto"/>
                <w:sz w:val="22"/>
                <w:szCs w:val="22"/>
              </w:rPr>
              <w:t>  乡(镇)人民政府或街道办事处依托社会救助、社会服务“一门受理、协同办理”机制，受理残疾人困难生活补贴申请，并在10个工作日内完成初审，将初审结果公示5个工作日。公示无异议后，在《宁夏困难残疾人生活补贴申请审批表》上签署意见，连同申请人的申请书、户口簿、第二代残疾人证复印件和填写盖章的《宁夏困难残疾人生活补贴登记表》报县级残联审批。</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left"/>
              <w:textAlignment w:val="auto"/>
              <w:outlineLvl w:val="9"/>
              <w:rPr>
                <w:rFonts w:hint="eastAsia" w:ascii="仿宋_GB2312" w:hAnsi="微软雅黑" w:eastAsia="仿宋_GB2312" w:cs="仿宋_GB2312"/>
                <w:b/>
                <w:bCs/>
                <w:color w:val="auto"/>
                <w:sz w:val="22"/>
                <w:szCs w:val="22"/>
              </w:rPr>
            </w:pPr>
            <w:r>
              <w:rPr>
                <w:rFonts w:hint="eastAsia" w:ascii="仿宋_GB2312" w:hAnsi="微软雅黑" w:eastAsia="仿宋_GB2312" w:cs="仿宋_GB2312"/>
                <w:b/>
                <w:bCs/>
                <w:color w:val="auto"/>
                <w:sz w:val="22"/>
                <w:szCs w:val="22"/>
              </w:rPr>
              <w:t>4.【规范性文件】《宁夏回族自治区重度残疾人护理补贴办法》（宁政办发〔2015〕180号）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left"/>
              <w:textAlignment w:val="auto"/>
              <w:outlineLvl w:val="9"/>
              <w:rPr>
                <w:color w:val="auto"/>
              </w:rPr>
            </w:pPr>
            <w:r>
              <w:rPr>
                <w:rFonts w:hint="eastAsia" w:ascii="仿宋_GB2312" w:hAnsi="微软雅黑" w:eastAsia="仿宋_GB2312" w:cs="仿宋_GB2312"/>
                <w:b/>
                <w:bCs/>
                <w:color w:val="auto"/>
                <w:sz w:val="22"/>
                <w:szCs w:val="22"/>
              </w:rPr>
              <w:t>第六条</w:t>
            </w:r>
            <w:r>
              <w:rPr>
                <w:rFonts w:hint="eastAsia" w:ascii="仿宋_GB2312" w:hAnsi="微软雅黑" w:eastAsia="仿宋_GB2312" w:cs="仿宋_GB2312"/>
                <w:color w:val="auto"/>
                <w:sz w:val="22"/>
                <w:szCs w:val="22"/>
              </w:rPr>
              <w:t>  乡(镇)人民政府或街道办事处依托社会救助、社会服务“一门受理、协同办理”机制，受理重度残疾人护理补贴申请，并在10个工作日内完成初审，将初审结果公示5个工作日。公示无异议后，在《宁夏重度残疾人护理补贴申请审批表》上签署意见，连同申请人的申请书、户口簿、第二代残疾人证复印件和填写盖章的《宁夏重度残疾人护理补贴登记表》报县级残联审批。</w:t>
            </w:r>
          </w:p>
        </w:tc>
      </w:tr>
      <w:tr>
        <w:tblPrEx>
          <w:shd w:val="clear" w:color="auto" w:fill="FFFFFF"/>
          <w:tblLayout w:type="fixed"/>
          <w:tblCellMar>
            <w:top w:w="0" w:type="dxa"/>
            <w:left w:w="0" w:type="dxa"/>
            <w:bottom w:w="0" w:type="dxa"/>
            <w:right w:w="0" w:type="dxa"/>
          </w:tblCellMar>
        </w:tblPrEx>
        <w:trPr>
          <w:tblCellSpacing w:w="0" w:type="dxa"/>
        </w:trPr>
        <w:tc>
          <w:tcPr>
            <w:tcW w:w="40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240" w:lineRule="atLeast"/>
              <w:jc w:val="center"/>
              <w:rPr>
                <w:color w:val="auto"/>
              </w:rPr>
            </w:pPr>
            <w:r>
              <w:rPr>
                <w:rFonts w:hint="eastAsia" w:ascii="仿宋" w:hAnsi="仿宋" w:eastAsia="仿宋" w:cs="仿宋"/>
                <w:color w:val="auto"/>
                <w:sz w:val="21"/>
                <w:szCs w:val="21"/>
              </w:rPr>
              <w:t>2</w:t>
            </w:r>
          </w:p>
        </w:tc>
        <w:tc>
          <w:tcPr>
            <w:tcW w:w="98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240" w:lineRule="atLeast"/>
              <w:ind w:left="0" w:leftChars="0" w:firstLine="0" w:firstLineChars="0"/>
              <w:jc w:val="both"/>
              <w:rPr>
                <w:color w:val="auto"/>
              </w:rPr>
            </w:pPr>
            <w:r>
              <w:rPr>
                <w:rFonts w:hint="eastAsia" w:ascii="仿宋" w:hAnsi="仿宋" w:eastAsia="仿宋" w:cs="仿宋"/>
                <w:color w:val="auto"/>
              </w:rPr>
              <w:t>行政确认条件</w:t>
            </w:r>
          </w:p>
        </w:tc>
        <w:tc>
          <w:tcPr>
            <w:tcW w:w="13899"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color w:val="auto"/>
              </w:rPr>
            </w:pPr>
            <w:r>
              <w:rPr>
                <w:rFonts w:hint="eastAsia" w:ascii="仿宋_GB2312" w:hAnsi="微软雅黑" w:eastAsia="仿宋_GB2312" w:cs="仿宋_GB2312"/>
                <w:color w:val="auto"/>
                <w:sz w:val="22"/>
                <w:szCs w:val="22"/>
              </w:rPr>
              <w:t>城乡老年人、残疾人以及未满16周岁的未成年人，同时具备以下条件的，应当依法纳入特困人员救助供养范围：</w:t>
            </w:r>
            <w:r>
              <w:rPr>
                <w:rFonts w:hint="eastAsia" w:ascii="仿宋_GB2312" w:hAnsi="微软雅黑" w:cs="仿宋_GB2312"/>
                <w:color w:val="auto"/>
                <w:sz w:val="22"/>
                <w:szCs w:val="22"/>
                <w:lang w:eastAsia="zh-CN"/>
              </w:rPr>
              <w:t>（</w:t>
            </w:r>
            <w:r>
              <w:rPr>
                <w:rFonts w:hint="eastAsia" w:ascii="仿宋_GB2312" w:hAnsi="微软雅黑" w:eastAsia="仿宋_GB2312" w:cs="仿宋_GB2312"/>
                <w:color w:val="auto"/>
                <w:sz w:val="22"/>
                <w:szCs w:val="22"/>
              </w:rPr>
              <w:t>1）无劳动能力；（2）无生活来源；（3）无法定赡养、抚养、扶养义务人或者法定义务人无履行义务的能力。</w:t>
            </w:r>
          </w:p>
        </w:tc>
      </w:tr>
      <w:tr>
        <w:tblPrEx>
          <w:shd w:val="clear" w:color="auto" w:fill="FFFFFF"/>
          <w:tblLayout w:type="fixed"/>
          <w:tblCellMar>
            <w:top w:w="0" w:type="dxa"/>
            <w:left w:w="0" w:type="dxa"/>
            <w:bottom w:w="0" w:type="dxa"/>
            <w:right w:w="0" w:type="dxa"/>
          </w:tblCellMar>
        </w:tblPrEx>
        <w:trPr>
          <w:tblCellSpacing w:w="0" w:type="dxa"/>
        </w:trPr>
        <w:tc>
          <w:tcPr>
            <w:tcW w:w="40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240" w:lineRule="atLeast"/>
              <w:jc w:val="center"/>
              <w:rPr>
                <w:color w:val="auto"/>
              </w:rPr>
            </w:pPr>
            <w:r>
              <w:rPr>
                <w:rFonts w:hint="eastAsia" w:ascii="仿宋" w:hAnsi="仿宋" w:eastAsia="仿宋" w:cs="仿宋"/>
                <w:color w:val="auto"/>
                <w:sz w:val="21"/>
                <w:szCs w:val="21"/>
              </w:rPr>
              <w:t>3</w:t>
            </w:r>
          </w:p>
        </w:tc>
        <w:tc>
          <w:tcPr>
            <w:tcW w:w="98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240" w:lineRule="atLeast"/>
              <w:ind w:left="0" w:leftChars="0" w:firstLine="0" w:firstLineChars="0"/>
              <w:jc w:val="both"/>
              <w:rPr>
                <w:color w:val="auto"/>
              </w:rPr>
            </w:pPr>
            <w:r>
              <w:rPr>
                <w:rFonts w:hint="eastAsia" w:ascii="仿宋" w:hAnsi="仿宋" w:eastAsia="仿宋" w:cs="仿宋"/>
                <w:color w:val="auto"/>
              </w:rPr>
              <w:t>申请材料</w:t>
            </w:r>
          </w:p>
        </w:tc>
        <w:tc>
          <w:tcPr>
            <w:tcW w:w="13899"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eastAsia" w:eastAsia="仿宋_GB2312"/>
                <w:color w:val="auto"/>
              </w:rPr>
            </w:pPr>
            <w:r>
              <w:rPr>
                <w:rFonts w:hint="eastAsia" w:ascii="仿宋_GB2312" w:hAnsi="微软雅黑" w:eastAsia="仿宋_GB2312" w:cs="仿宋_GB2312"/>
                <w:color w:val="auto"/>
                <w:sz w:val="22"/>
                <w:szCs w:val="22"/>
              </w:rPr>
              <w:t>1.向居委会提出书面申请；2.本人有效身份证明；3.劳动能力以及赡养、抚养、扶养情况书面声明；4.承诺所提供信息真实、完整的承诺书；5.若为残疾人应当提供《中华人民共和国残疾人证》。</w:t>
            </w:r>
          </w:p>
        </w:tc>
      </w:tr>
      <w:tr>
        <w:tblPrEx>
          <w:shd w:val="clear" w:color="auto" w:fill="FFFFFF"/>
          <w:tblLayout w:type="fixed"/>
          <w:tblCellMar>
            <w:top w:w="0" w:type="dxa"/>
            <w:left w:w="0" w:type="dxa"/>
            <w:bottom w:w="0" w:type="dxa"/>
            <w:right w:w="0" w:type="dxa"/>
          </w:tblCellMar>
        </w:tblPrEx>
        <w:trPr>
          <w:trHeight w:val="780" w:hRule="atLeast"/>
          <w:tblCellSpacing w:w="0" w:type="dxa"/>
        </w:trPr>
        <w:tc>
          <w:tcPr>
            <w:tcW w:w="40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240" w:lineRule="atLeast"/>
              <w:jc w:val="center"/>
              <w:rPr>
                <w:color w:val="auto"/>
              </w:rPr>
            </w:pPr>
            <w:r>
              <w:rPr>
                <w:rFonts w:hint="eastAsia" w:ascii="仿宋" w:hAnsi="仿宋" w:eastAsia="仿宋" w:cs="仿宋"/>
                <w:color w:val="auto"/>
                <w:sz w:val="21"/>
                <w:szCs w:val="21"/>
              </w:rPr>
              <w:t>4</w:t>
            </w:r>
          </w:p>
        </w:tc>
        <w:tc>
          <w:tcPr>
            <w:tcW w:w="982"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240" w:lineRule="atLeast"/>
              <w:ind w:left="0" w:leftChars="0" w:firstLine="0" w:firstLineChars="0"/>
              <w:jc w:val="both"/>
              <w:rPr>
                <w:color w:val="auto"/>
              </w:rPr>
            </w:pPr>
            <w:r>
              <w:rPr>
                <w:rFonts w:hint="eastAsia" w:ascii="仿宋" w:hAnsi="仿宋" w:eastAsia="仿宋" w:cs="仿宋"/>
                <w:color w:val="auto"/>
              </w:rPr>
              <w:t>行政确认办理流程</w:t>
            </w:r>
          </w:p>
        </w:tc>
        <w:tc>
          <w:tcPr>
            <w:tcW w:w="13899"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left"/>
              <w:textAlignment w:val="auto"/>
              <w:outlineLvl w:val="9"/>
              <w:rPr>
                <w:rFonts w:hint="eastAsia" w:ascii="仿宋_GB2312" w:hAnsi="微软雅黑" w:eastAsia="仿宋_GB2312" w:cs="仿宋_GB2312"/>
                <w:color w:val="auto"/>
                <w:sz w:val="22"/>
                <w:szCs w:val="22"/>
              </w:rPr>
            </w:pPr>
            <w:r>
              <w:rPr>
                <w:rFonts w:hint="eastAsia" w:ascii="仿宋_GB2312" w:hAnsi="微软雅黑" w:eastAsia="仿宋_GB2312" w:cs="仿宋_GB2312"/>
                <w:color w:val="auto"/>
                <w:sz w:val="22"/>
                <w:szCs w:val="22"/>
              </w:rPr>
              <w:t>1.申请程序。本人向街道提出书面申请。本人申请有困难的，可以委托居民委员会或者他人代为提出申请填写。申请时自行选择集中或分散供养并明确监护人，监护人按照民法有关规定确定；无法定监护人的，由特困人员所在地居民委员会或他人代为提出申请。街道对申请人或者其代理人提交的材料进行审查，材料齐备的，予以受理；材料不齐备的，应当一次性告知申请人或者其代理人补齐所有规定材料。</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left"/>
              <w:textAlignment w:val="auto"/>
              <w:outlineLvl w:val="9"/>
              <w:rPr>
                <w:rFonts w:hint="eastAsia" w:ascii="仿宋_GB2312" w:hAnsi="微软雅黑" w:eastAsia="仿宋_GB2312" w:cs="仿宋_GB2312"/>
                <w:color w:val="auto"/>
                <w:sz w:val="22"/>
                <w:szCs w:val="22"/>
              </w:rPr>
            </w:pPr>
            <w:r>
              <w:rPr>
                <w:rFonts w:hint="eastAsia" w:ascii="仿宋_GB2312" w:hAnsi="微软雅黑" w:eastAsia="仿宋_GB2312" w:cs="仿宋_GB2312"/>
                <w:color w:val="auto"/>
                <w:sz w:val="22"/>
                <w:szCs w:val="22"/>
              </w:rPr>
              <w:t>2.审核程序。街道应当自受理申请之日起20个工作日内，通过入户调查、邻里访问、信函索证、民主评议、信息核对等方式，对申请人的经济状况、财产状况、生活状况以及赡养、抚养、扶养状况等进行调查核实，并提出审核意见。于20个工作日内提出初审意见，在申请人所在居委会公示后，报上级民政局审批。申请人及有关单位、组织或者个人应当配合调查，如实提供有关情况。</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left"/>
              <w:textAlignment w:val="auto"/>
              <w:outlineLvl w:val="9"/>
              <w:rPr>
                <w:rFonts w:hint="eastAsia" w:ascii="仿宋_GB2312" w:hAnsi="微软雅黑" w:eastAsia="仿宋_GB2312" w:cs="仿宋_GB2312"/>
                <w:color w:val="auto"/>
                <w:sz w:val="22"/>
                <w:szCs w:val="22"/>
              </w:rPr>
            </w:pPr>
            <w:r>
              <w:rPr>
                <w:rFonts w:hint="eastAsia" w:ascii="仿宋_GB2312" w:hAnsi="微软雅黑" w:eastAsia="仿宋_GB2312" w:cs="仿宋_GB2312"/>
                <w:color w:val="auto"/>
                <w:sz w:val="22"/>
                <w:szCs w:val="22"/>
              </w:rPr>
              <w:t>3.审批程序。上级民政局全面审查街道上报的申请材料、调查材料和审核意见，根据审核意见和公示情况，通过居民家庭经济状况核对系统进行核对，按照不低于30%的比例随机抽查核实，并在20个工作日内作出审批决定。</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left"/>
              <w:textAlignment w:val="auto"/>
              <w:outlineLvl w:val="9"/>
              <w:rPr>
                <w:color w:val="auto"/>
              </w:rPr>
            </w:pPr>
            <w:r>
              <w:rPr>
                <w:rFonts w:hint="eastAsia" w:ascii="仿宋_GB2312" w:hAnsi="微软雅黑" w:eastAsia="仿宋_GB2312" w:cs="仿宋_GB2312"/>
                <w:color w:val="auto"/>
                <w:sz w:val="22"/>
                <w:szCs w:val="22"/>
              </w:rPr>
              <w:t>对符合救助供养条件的申请予以批准，从批准之日下月起给予特困供养待遇，并在申请人所在居委会公布。对不符合救助供养条件的申请，上级民政部门不予批准，并书面告知申请人。</w:t>
            </w:r>
          </w:p>
        </w:tc>
      </w:tr>
    </w:tbl>
    <w:p>
      <w:pPr>
        <w:pStyle w:val="4"/>
        <w:widowControl/>
        <w:shd w:val="clear" w:color="auto" w:fill="FFFFFF"/>
        <w:spacing w:before="150" w:beforeLines="0" w:beforeAutospacing="0" w:after="0" w:afterLines="0" w:afterAutospacing="0" w:line="495" w:lineRule="atLeast"/>
        <w:ind w:left="0" w:leftChars="0" w:firstLine="0" w:firstLineChars="0"/>
        <w:jc w:val="center"/>
        <w:rPr>
          <w:rFonts w:hint="eastAsia" w:ascii="方正小标宋_GBK" w:hAnsi="方正小标宋_GBK" w:eastAsia="方正小标宋_GBK" w:cs="方正小标宋_GBK"/>
          <w:color w:val="auto"/>
          <w:sz w:val="44"/>
          <w:szCs w:val="44"/>
          <w:shd w:val="clear" w:color="auto" w:fill="FFFFFF"/>
        </w:rPr>
      </w:pPr>
      <w:bookmarkStart w:id="2" w:name="_Toc11188"/>
    </w:p>
    <w:p>
      <w:pPr>
        <w:pStyle w:val="4"/>
        <w:widowControl/>
        <w:shd w:val="clear" w:color="auto" w:fill="FFFFFF"/>
        <w:spacing w:before="150" w:beforeLines="0" w:beforeAutospacing="0" w:after="0" w:afterLines="0" w:afterAutospacing="0" w:line="495" w:lineRule="atLeast"/>
        <w:ind w:left="0" w:leftChars="0" w:firstLine="0" w:firstLineChars="0"/>
        <w:jc w:val="center"/>
        <w:rPr>
          <w:rFonts w:hint="eastAsia" w:ascii="方正小标宋_GBK" w:hAnsi="方正小标宋_GBK" w:eastAsia="方正小标宋_GBK" w:cs="方正小标宋_GBK"/>
          <w:color w:val="auto"/>
          <w:sz w:val="44"/>
          <w:szCs w:val="44"/>
          <w:shd w:val="clear" w:color="auto" w:fill="FFFFFF"/>
        </w:rPr>
      </w:pPr>
    </w:p>
    <w:bookmarkEnd w:id="2"/>
    <w:p>
      <w:pPr>
        <w:pStyle w:val="4"/>
        <w:widowControl/>
        <w:shd w:val="clear" w:color="auto" w:fill="FFFFFF"/>
        <w:spacing w:before="150" w:beforeLines="0" w:beforeAutospacing="0" w:after="0" w:afterLines="0" w:afterAutospacing="0" w:line="495" w:lineRule="atLeast"/>
        <w:ind w:left="0" w:leftChars="0" w:firstLine="0" w:firstLineChars="0"/>
        <w:jc w:val="both"/>
        <w:rPr>
          <w:rFonts w:hint="eastAsia" w:ascii="方正小标宋_GBK" w:hAnsi="方正小标宋_GBK" w:eastAsia="方正小标宋_GBK" w:cs="方正小标宋_GBK"/>
          <w:color w:val="auto"/>
          <w:sz w:val="44"/>
          <w:szCs w:val="44"/>
          <w:shd w:val="clear" w:color="auto" w:fill="FFFFFF"/>
        </w:rPr>
      </w:pPr>
    </w:p>
    <w:p>
      <w:pPr>
        <w:pStyle w:val="4"/>
        <w:widowControl/>
        <w:shd w:val="clear" w:color="auto" w:fill="FFFFFF"/>
        <w:spacing w:before="150" w:beforeLines="0" w:beforeAutospacing="0" w:after="0" w:afterLines="0" w:afterAutospacing="0" w:line="495" w:lineRule="atLeast"/>
        <w:ind w:left="0" w:leftChars="0" w:firstLine="0" w:firstLineChars="0"/>
        <w:jc w:val="both"/>
        <w:rPr>
          <w:rFonts w:hint="eastAsia" w:ascii="方正小标宋_GBK" w:hAnsi="方正小标宋_GBK" w:eastAsia="方正小标宋_GBK" w:cs="方正小标宋_GBK"/>
          <w:color w:val="auto"/>
          <w:sz w:val="44"/>
          <w:szCs w:val="44"/>
          <w:shd w:val="clear" w:color="auto" w:fill="FFFFFF"/>
        </w:rPr>
      </w:pPr>
    </w:p>
    <w:p>
      <w:pPr>
        <w:pStyle w:val="4"/>
        <w:widowControl/>
        <w:shd w:val="clear" w:color="auto" w:fill="FFFFFF"/>
        <w:spacing w:before="150" w:beforeLines="0" w:beforeAutospacing="0" w:after="0" w:afterLines="0" w:afterAutospacing="0" w:line="495" w:lineRule="atLeast"/>
        <w:ind w:left="0" w:leftChars="0" w:firstLine="0" w:firstLineChars="0"/>
        <w:jc w:val="both"/>
        <w:rPr>
          <w:rFonts w:hint="eastAsia" w:ascii="方正小标宋_GBK" w:hAnsi="方正小标宋_GBK" w:eastAsia="方正小标宋_GBK" w:cs="方正小标宋_GBK"/>
          <w:color w:val="auto"/>
          <w:sz w:val="44"/>
          <w:szCs w:val="44"/>
          <w:shd w:val="clear" w:color="auto" w:fill="FFFFFF"/>
        </w:rPr>
      </w:pPr>
    </w:p>
    <w:tbl>
      <w:tblPr>
        <w:tblStyle w:val="7"/>
        <w:tblpPr w:leftFromText="180" w:rightFromText="180" w:vertAnchor="text" w:horzAnchor="page" w:tblpX="966" w:tblpY="1577"/>
        <w:tblOverlap w:val="never"/>
        <w:tblW w:w="15473" w:type="dxa"/>
        <w:tblCellSpacing w:w="0" w:type="dxa"/>
        <w:tblInd w:w="0" w:type="dxa"/>
        <w:shd w:val="clear" w:color="auto" w:fill="FFFFFF"/>
        <w:tblLayout w:type="fixed"/>
        <w:tblCellMar>
          <w:top w:w="0" w:type="dxa"/>
          <w:left w:w="0" w:type="dxa"/>
          <w:bottom w:w="0" w:type="dxa"/>
          <w:right w:w="0" w:type="dxa"/>
        </w:tblCellMar>
      </w:tblPr>
      <w:tblGrid>
        <w:gridCol w:w="409"/>
        <w:gridCol w:w="968"/>
        <w:gridCol w:w="14096"/>
      </w:tblGrid>
      <w:tr>
        <w:tblPrEx>
          <w:shd w:val="clear" w:color="auto" w:fill="FFFFFF"/>
          <w:tblLayout w:type="fixed"/>
          <w:tblCellMar>
            <w:top w:w="0" w:type="dxa"/>
            <w:left w:w="0" w:type="dxa"/>
            <w:bottom w:w="0" w:type="dxa"/>
            <w:right w:w="0" w:type="dxa"/>
          </w:tblCellMar>
        </w:tblPrEx>
        <w:trPr>
          <w:tblCellSpacing w:w="0" w:type="dxa"/>
        </w:trPr>
        <w:tc>
          <w:tcPr>
            <w:tcW w:w="409"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color w:val="auto"/>
                <w:sz w:val="21"/>
                <w:szCs w:val="21"/>
              </w:rPr>
            </w:pPr>
            <w:r>
              <w:rPr>
                <w:rFonts w:hint="eastAsia" w:ascii="黑体" w:hAnsi="宋体" w:eastAsia="黑体" w:cs="黑体"/>
                <w:color w:val="auto"/>
                <w:sz w:val="21"/>
                <w:szCs w:val="21"/>
              </w:rPr>
              <w:t>序号</w:t>
            </w:r>
          </w:p>
        </w:tc>
        <w:tc>
          <w:tcPr>
            <w:tcW w:w="96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sz w:val="21"/>
                <w:szCs w:val="21"/>
              </w:rPr>
            </w:pPr>
            <w:r>
              <w:rPr>
                <w:rFonts w:hint="eastAsia" w:ascii="黑体" w:hAnsi="宋体" w:eastAsia="黑体" w:cs="黑体"/>
                <w:color w:val="auto"/>
                <w:sz w:val="21"/>
                <w:szCs w:val="21"/>
              </w:rPr>
              <w:t>行政确</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sz w:val="21"/>
                <w:szCs w:val="21"/>
              </w:rPr>
            </w:pPr>
            <w:r>
              <w:rPr>
                <w:rFonts w:hint="eastAsia" w:ascii="黑体" w:hAnsi="宋体" w:eastAsia="黑体" w:cs="黑体"/>
                <w:color w:val="auto"/>
                <w:sz w:val="21"/>
                <w:szCs w:val="21"/>
              </w:rPr>
              <w:t>认事项</w:t>
            </w:r>
          </w:p>
        </w:tc>
        <w:tc>
          <w:tcPr>
            <w:tcW w:w="1409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sz w:val="21"/>
                <w:szCs w:val="21"/>
              </w:rPr>
            </w:pPr>
            <w:r>
              <w:rPr>
                <w:rFonts w:hint="eastAsia" w:ascii="黑体" w:hAnsi="宋体" w:eastAsia="黑体" w:cs="黑体"/>
                <w:color w:val="auto"/>
                <w:sz w:val="21"/>
                <w:szCs w:val="21"/>
              </w:rPr>
              <w:t>医疗救助</w:t>
            </w:r>
          </w:p>
        </w:tc>
      </w:tr>
      <w:tr>
        <w:tblPrEx>
          <w:shd w:val="clear" w:color="auto" w:fill="FFFFFF"/>
          <w:tblLayout w:type="fixed"/>
          <w:tblCellMar>
            <w:top w:w="0" w:type="dxa"/>
            <w:left w:w="0" w:type="dxa"/>
            <w:bottom w:w="0" w:type="dxa"/>
            <w:right w:w="0" w:type="dxa"/>
          </w:tblCellMar>
        </w:tblPrEx>
        <w:trPr>
          <w:trHeight w:val="2702" w:hRule="atLeast"/>
          <w:tblCellSpacing w:w="0" w:type="dxa"/>
        </w:trPr>
        <w:tc>
          <w:tcPr>
            <w:tcW w:w="40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sz w:val="21"/>
                <w:szCs w:val="21"/>
              </w:rPr>
            </w:pPr>
            <w:r>
              <w:rPr>
                <w:rFonts w:hint="eastAsia" w:ascii="仿宋" w:hAnsi="仿宋" w:eastAsia="仿宋" w:cs="仿宋"/>
                <w:color w:val="auto"/>
                <w:sz w:val="21"/>
                <w:szCs w:val="21"/>
              </w:rPr>
              <w:t>1</w:t>
            </w:r>
          </w:p>
        </w:tc>
        <w:tc>
          <w:tcPr>
            <w:tcW w:w="96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sz w:val="21"/>
                <w:szCs w:val="21"/>
              </w:rPr>
            </w:pPr>
            <w:r>
              <w:rPr>
                <w:rFonts w:hint="eastAsia" w:ascii="仿宋" w:hAnsi="仿宋" w:eastAsia="仿宋" w:cs="仿宋"/>
                <w:color w:val="auto"/>
                <w:sz w:val="21"/>
                <w:szCs w:val="21"/>
              </w:rPr>
              <w:t>法律依据</w:t>
            </w:r>
          </w:p>
        </w:tc>
        <w:tc>
          <w:tcPr>
            <w:tcW w:w="14096"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eastAsia" w:ascii="仿宋_GB2312" w:hAnsi="微软雅黑" w:eastAsia="仿宋_GB2312" w:cs="仿宋_GB2312"/>
                <w:b/>
                <w:bCs/>
                <w:color w:val="auto"/>
                <w:sz w:val="21"/>
                <w:szCs w:val="21"/>
              </w:rPr>
            </w:pPr>
            <w:r>
              <w:rPr>
                <w:rFonts w:hint="eastAsia" w:ascii="仿宋_GB2312" w:hAnsi="微软雅黑" w:eastAsia="仿宋_GB2312" w:cs="仿宋_GB2312"/>
                <w:b/>
                <w:bCs/>
                <w:color w:val="auto"/>
                <w:sz w:val="21"/>
                <w:szCs w:val="21"/>
              </w:rPr>
              <w:t>1.【行政法规】《社会救助暂行办法》（2014年国务院令第649号）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eastAsia" w:ascii="仿宋_GB2312" w:hAnsi="微软雅黑" w:eastAsia="仿宋_GB2312" w:cs="仿宋_GB2312"/>
                <w:color w:val="auto"/>
                <w:sz w:val="21"/>
                <w:szCs w:val="21"/>
              </w:rPr>
            </w:pPr>
            <w:r>
              <w:rPr>
                <w:rFonts w:hint="eastAsia" w:ascii="仿宋_GB2312" w:hAnsi="微软雅黑" w:eastAsia="仿宋_GB2312" w:cs="仿宋_GB2312"/>
                <w:b/>
                <w:bCs/>
                <w:color w:val="auto"/>
                <w:sz w:val="21"/>
                <w:szCs w:val="21"/>
              </w:rPr>
              <w:t>第三十条</w:t>
            </w:r>
            <w:r>
              <w:rPr>
                <w:rFonts w:hint="eastAsia" w:ascii="仿宋_GB2312" w:hAnsi="微软雅黑" w:eastAsia="仿宋_GB2312" w:cs="仿宋_GB2312"/>
                <w:color w:val="auto"/>
                <w:sz w:val="21"/>
                <w:szCs w:val="21"/>
              </w:rPr>
              <w:t>　申请医疗救助的，应当向乡镇人民政府、街道办事处提出，经审核、公示后，由县级人民政府民政部门审批。最低生活保障家庭成员和特困供养人员的医疗救助，由县级人民政府民政部门直接办理。</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eastAsia" w:ascii="仿宋_GB2312" w:hAnsi="微软雅黑" w:eastAsia="仿宋_GB2312" w:cs="仿宋_GB2312"/>
                <w:b/>
                <w:bCs/>
                <w:color w:val="auto"/>
                <w:sz w:val="21"/>
                <w:szCs w:val="21"/>
              </w:rPr>
            </w:pPr>
            <w:r>
              <w:rPr>
                <w:rFonts w:hint="eastAsia" w:ascii="仿宋_GB2312" w:hAnsi="微软雅黑" w:eastAsia="仿宋_GB2312" w:cs="仿宋_GB2312"/>
                <w:b/>
                <w:bCs/>
                <w:color w:val="auto"/>
                <w:sz w:val="21"/>
                <w:szCs w:val="21"/>
              </w:rPr>
              <w:t>2.【地方政府规章】《宁夏回族自治区医疗救助办法》（2015年自治区政府令第78号）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eastAsia" w:ascii="仿宋_GB2312" w:hAnsi="微软雅黑" w:eastAsia="仿宋_GB2312" w:cs="仿宋_GB2312"/>
                <w:color w:val="auto"/>
                <w:sz w:val="21"/>
                <w:szCs w:val="21"/>
              </w:rPr>
            </w:pPr>
            <w:r>
              <w:rPr>
                <w:rFonts w:hint="eastAsia" w:ascii="仿宋_GB2312" w:hAnsi="微软雅黑" w:eastAsia="仿宋_GB2312" w:cs="仿宋_GB2312"/>
                <w:b/>
                <w:bCs/>
                <w:color w:val="auto"/>
                <w:sz w:val="21"/>
                <w:szCs w:val="21"/>
              </w:rPr>
              <w:t>第十八条</w:t>
            </w:r>
            <w:r>
              <w:rPr>
                <w:rFonts w:hint="eastAsia" w:ascii="仿宋_GB2312" w:hAnsi="微软雅黑" w:eastAsia="仿宋_GB2312" w:cs="仿宋_GB2312"/>
                <w:color w:val="auto"/>
                <w:sz w:val="21"/>
                <w:szCs w:val="21"/>
              </w:rPr>
              <w:t xml:space="preserve">  低收入家庭重度残疾人、重点优抚对象、因病致贫家庭患病人员住院治疗申请医疗救助的，应当向户籍所在地乡镇人民政府、街道办事处提出，并提交下列申请材料：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color w:val="auto"/>
                <w:sz w:val="21"/>
                <w:szCs w:val="21"/>
              </w:rPr>
            </w:pPr>
            <w:r>
              <w:rPr>
                <w:rFonts w:hint="eastAsia" w:ascii="仿宋_GB2312" w:hAnsi="微软雅黑" w:eastAsia="仿宋_GB2312" w:cs="仿宋_GB2312"/>
                <w:color w:val="auto"/>
                <w:sz w:val="21"/>
                <w:szCs w:val="21"/>
              </w:rPr>
              <w:t>（一）居民户口簿、本人身份证；（二）残疾证、优抚证；（三）医疗机构出具的诊断证明、住院费用结算单；（四）城乡居民基本医疗保险、城乡居民大病医疗保险以及商业保险等保险结算单。乡镇人民政府、街道办事处应当自收到申请材料之日起五个工作日内对申请人患病情况及家庭收入和财产状况进行调查、审核；经审核符合救助条件的，出具符合救助条件的证明，报送县（市、区）民政部门审批。</w:t>
            </w:r>
          </w:p>
        </w:tc>
      </w:tr>
      <w:tr>
        <w:tblPrEx>
          <w:shd w:val="clear" w:color="auto" w:fill="FFFFFF"/>
          <w:tblLayout w:type="fixed"/>
          <w:tblCellMar>
            <w:top w:w="0" w:type="dxa"/>
            <w:left w:w="0" w:type="dxa"/>
            <w:bottom w:w="0" w:type="dxa"/>
            <w:right w:w="0" w:type="dxa"/>
          </w:tblCellMar>
        </w:tblPrEx>
        <w:trPr>
          <w:tblCellSpacing w:w="0" w:type="dxa"/>
        </w:trPr>
        <w:tc>
          <w:tcPr>
            <w:tcW w:w="40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sz w:val="21"/>
                <w:szCs w:val="21"/>
              </w:rPr>
            </w:pPr>
            <w:r>
              <w:rPr>
                <w:rFonts w:hint="eastAsia" w:ascii="仿宋" w:hAnsi="仿宋" w:eastAsia="仿宋" w:cs="仿宋"/>
                <w:color w:val="auto"/>
                <w:sz w:val="21"/>
                <w:szCs w:val="21"/>
              </w:rPr>
              <w:t>2</w:t>
            </w:r>
          </w:p>
        </w:tc>
        <w:tc>
          <w:tcPr>
            <w:tcW w:w="96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sz w:val="21"/>
                <w:szCs w:val="21"/>
              </w:rPr>
            </w:pPr>
            <w:r>
              <w:rPr>
                <w:rFonts w:hint="eastAsia" w:ascii="仿宋" w:hAnsi="仿宋" w:eastAsia="仿宋" w:cs="仿宋"/>
                <w:color w:val="auto"/>
                <w:sz w:val="21"/>
                <w:szCs w:val="21"/>
              </w:rPr>
              <w:t>行政确认条件</w:t>
            </w:r>
          </w:p>
        </w:tc>
        <w:tc>
          <w:tcPr>
            <w:tcW w:w="1409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color w:val="auto"/>
                <w:sz w:val="21"/>
                <w:szCs w:val="21"/>
              </w:rPr>
            </w:pPr>
            <w:r>
              <w:rPr>
                <w:rFonts w:hint="eastAsia" w:ascii="仿宋_GB2312" w:hAnsi="微软雅黑" w:eastAsia="仿宋_GB2312" w:cs="仿宋_GB2312"/>
                <w:color w:val="auto"/>
                <w:sz w:val="21"/>
                <w:szCs w:val="21"/>
              </w:rPr>
              <w:t>1.特困供养人员； 2.最低生活保障对象； 3.孤儿； 4.高龄低收入老年人； 5.低收入家庭重度残疾人； 6.重点优抚对象； 7.因病致贫家庭患病人员。 </w:t>
            </w:r>
          </w:p>
        </w:tc>
      </w:tr>
      <w:tr>
        <w:tblPrEx>
          <w:shd w:val="clear" w:color="auto" w:fill="FFFFFF"/>
          <w:tblLayout w:type="fixed"/>
          <w:tblCellMar>
            <w:top w:w="0" w:type="dxa"/>
            <w:left w:w="0" w:type="dxa"/>
            <w:bottom w:w="0" w:type="dxa"/>
            <w:right w:w="0" w:type="dxa"/>
          </w:tblCellMar>
        </w:tblPrEx>
        <w:trPr>
          <w:trHeight w:val="760" w:hRule="atLeast"/>
          <w:tblCellSpacing w:w="0" w:type="dxa"/>
        </w:trPr>
        <w:tc>
          <w:tcPr>
            <w:tcW w:w="40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sz w:val="21"/>
                <w:szCs w:val="21"/>
              </w:rPr>
            </w:pPr>
            <w:r>
              <w:rPr>
                <w:rFonts w:hint="eastAsia" w:ascii="仿宋" w:hAnsi="仿宋" w:eastAsia="仿宋" w:cs="仿宋"/>
                <w:color w:val="auto"/>
                <w:sz w:val="21"/>
                <w:szCs w:val="21"/>
              </w:rPr>
              <w:t>3</w:t>
            </w:r>
          </w:p>
        </w:tc>
        <w:tc>
          <w:tcPr>
            <w:tcW w:w="96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sz w:val="21"/>
                <w:szCs w:val="21"/>
              </w:rPr>
            </w:pPr>
            <w:r>
              <w:rPr>
                <w:rFonts w:hint="eastAsia" w:ascii="仿宋" w:hAnsi="仿宋" w:eastAsia="仿宋" w:cs="仿宋"/>
                <w:color w:val="auto"/>
                <w:sz w:val="21"/>
                <w:szCs w:val="21"/>
              </w:rPr>
              <w:t>申请材料</w:t>
            </w:r>
          </w:p>
        </w:tc>
        <w:tc>
          <w:tcPr>
            <w:tcW w:w="14096"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color w:val="auto"/>
                <w:sz w:val="21"/>
                <w:szCs w:val="21"/>
              </w:rPr>
            </w:pPr>
            <w:r>
              <w:rPr>
                <w:rFonts w:hint="eastAsia" w:ascii="仿宋_GB2312" w:hAnsi="微软雅黑" w:eastAsia="仿宋_GB2312" w:cs="仿宋_GB2312"/>
                <w:color w:val="auto"/>
                <w:sz w:val="21"/>
                <w:szCs w:val="21"/>
              </w:rPr>
              <w:t>1.申请书2.居民户口簿、本人身份证；3.残疾证、优抚证；4.医疗机构出具的诊断证明、住院费用结算单；5.城乡居民基本医疗保险、城乡居民大病医疗保险以及商业保险等保险结算单。</w:t>
            </w:r>
          </w:p>
        </w:tc>
      </w:tr>
      <w:tr>
        <w:tblPrEx>
          <w:shd w:val="clear" w:color="auto" w:fill="FFFFFF"/>
          <w:tblLayout w:type="fixed"/>
          <w:tblCellMar>
            <w:top w:w="0" w:type="dxa"/>
            <w:left w:w="0" w:type="dxa"/>
            <w:bottom w:w="0" w:type="dxa"/>
            <w:right w:w="0" w:type="dxa"/>
          </w:tblCellMar>
        </w:tblPrEx>
        <w:trPr>
          <w:trHeight w:val="90" w:hRule="atLeast"/>
          <w:tblCellSpacing w:w="0" w:type="dxa"/>
        </w:trPr>
        <w:tc>
          <w:tcPr>
            <w:tcW w:w="40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sz w:val="21"/>
                <w:szCs w:val="21"/>
              </w:rPr>
            </w:pPr>
            <w:r>
              <w:rPr>
                <w:rFonts w:hint="eastAsia" w:ascii="仿宋" w:hAnsi="仿宋" w:eastAsia="仿宋" w:cs="仿宋"/>
                <w:color w:val="auto"/>
                <w:sz w:val="21"/>
                <w:szCs w:val="21"/>
              </w:rPr>
              <w:t>4</w:t>
            </w:r>
          </w:p>
        </w:tc>
        <w:tc>
          <w:tcPr>
            <w:tcW w:w="968"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sz w:val="21"/>
                <w:szCs w:val="21"/>
              </w:rPr>
            </w:pPr>
            <w:r>
              <w:rPr>
                <w:rFonts w:hint="eastAsia" w:ascii="仿宋" w:hAnsi="仿宋" w:eastAsia="仿宋" w:cs="仿宋"/>
                <w:color w:val="auto"/>
                <w:sz w:val="21"/>
                <w:szCs w:val="21"/>
              </w:rPr>
              <w:t>行政确认办理流程</w:t>
            </w:r>
          </w:p>
        </w:tc>
        <w:tc>
          <w:tcPr>
            <w:tcW w:w="14096"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eastAsia" w:ascii="仿宋_GB2312" w:hAnsi="微软雅黑" w:eastAsia="仿宋_GB2312" w:cs="仿宋_GB2312"/>
                <w:color w:val="auto"/>
                <w:sz w:val="21"/>
                <w:szCs w:val="21"/>
              </w:rPr>
            </w:pPr>
            <w:r>
              <w:rPr>
                <w:rFonts w:hint="eastAsia" w:ascii="仿宋_GB2312" w:hAnsi="微软雅黑" w:eastAsia="仿宋_GB2312" w:cs="仿宋_GB2312"/>
                <w:color w:val="auto"/>
                <w:sz w:val="21"/>
                <w:szCs w:val="21"/>
              </w:rPr>
              <w:t>1.当向户籍所在地乡镇人民政府、街道办事处提出书面申请；2.乡镇人民政府、街道办事处应当自收到申请材料之日起五个工作日内对申请人患病情况及家庭收入和财产状况进行调查、审核；经审核符合救助条件的，出具符合救助条件的证明，报送县（市、区）民政部门审批；3.县（市、区）民政部门应当自收到申请材料之日起五个工作日内进行审查；4.县（市、区）民政部门同意救助的，应当在作出决定后五个工作日内将救助资金通过银行直接汇入被救助人个人账户；不同意救助的，应当在作出决定后二个工作日内，书面告知申请人或者其代理人，并说明理由。 </w:t>
            </w: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(第</w:t>
      </w:r>
      <w:r>
        <w:rPr>
          <w:rFonts w:hint="eastAsia" w:ascii="方正小标宋_GBK" w:hAnsi="方正小标宋_GBK" w:eastAsia="方正小标宋_GBK" w:cs="方正小标宋_GBK"/>
          <w:color w:val="auto"/>
          <w:sz w:val="44"/>
          <w:szCs w:val="44"/>
          <w:shd w:val="clear" w:color="auto" w:fill="FFFFFF"/>
          <w:lang w:val="en-US" w:eastAsia="zh-CN"/>
        </w:rPr>
        <w:t>3</w:t>
      </w:r>
      <w:r>
        <w:rPr>
          <w:rFonts w:hint="eastAsia" w:ascii="方正小标宋_GBK" w:hAnsi="方正小标宋_GBK" w:eastAsia="方正小标宋_GBK" w:cs="方正小标宋_GBK"/>
          <w:color w:val="auto"/>
          <w:sz w:val="44"/>
          <w:szCs w:val="44"/>
          <w:shd w:val="clear" w:color="auto" w:fill="FFFFFF"/>
        </w:rPr>
        <w:t>项)</w:t>
      </w:r>
    </w:p>
    <w:p>
      <w:pPr>
        <w:pStyle w:val="4"/>
        <w:widowControl/>
        <w:shd w:val="clear" w:color="auto" w:fill="FFFFFF"/>
        <w:spacing w:before="150" w:beforeLines="0" w:beforeAutospacing="0" w:after="0" w:afterLines="0" w:afterAutospacing="0" w:line="495" w:lineRule="atLeast"/>
        <w:ind w:left="0" w:leftChars="0" w:firstLine="0" w:firstLineChars="0"/>
        <w:jc w:val="both"/>
        <w:rPr>
          <w:rFonts w:hint="eastAsia" w:ascii="方正小标宋_GBK" w:hAnsi="方正小标宋_GBK" w:eastAsia="方正小标宋_GBK" w:cs="方正小标宋_GBK"/>
          <w:color w:val="auto"/>
          <w:sz w:val="44"/>
          <w:szCs w:val="44"/>
          <w:shd w:val="clear" w:color="auto" w:fill="FFFFFF"/>
        </w:rPr>
      </w:pPr>
    </w:p>
    <w:p>
      <w:pPr>
        <w:pStyle w:val="4"/>
        <w:widowControl/>
        <w:shd w:val="clear" w:color="auto" w:fill="FFFFFF"/>
        <w:spacing w:before="150" w:beforeLines="0" w:beforeAutospacing="0" w:after="0" w:afterLines="0" w:afterAutospacing="0" w:line="495" w:lineRule="atLeast"/>
        <w:ind w:left="0" w:leftChars="0" w:firstLine="0" w:firstLineChars="0"/>
        <w:jc w:val="center"/>
        <w:rPr>
          <w:rFonts w:hint="eastAsia" w:ascii="方正小标宋_GBK" w:hAnsi="方正小标宋_GBK" w:eastAsia="方正小标宋_GBK" w:cs="方正小标宋_GBK"/>
          <w:color w:val="auto"/>
          <w:sz w:val="44"/>
          <w:szCs w:val="44"/>
          <w:shd w:val="clear" w:color="auto" w:fill="FFFFFF"/>
        </w:rPr>
      </w:pPr>
    </w:p>
    <w:p>
      <w:pPr>
        <w:pStyle w:val="4"/>
        <w:widowControl/>
        <w:shd w:val="clear" w:color="auto" w:fill="FFFFFF"/>
        <w:spacing w:before="150" w:beforeLines="0" w:beforeAutospacing="0" w:after="0" w:afterLines="0" w:afterAutospacing="0" w:line="495" w:lineRule="atLeast"/>
        <w:ind w:left="0" w:leftChars="0" w:firstLine="0" w:firstLineChars="0"/>
        <w:jc w:val="center"/>
        <w:rPr>
          <w:rFonts w:hint="eastAsia" w:ascii="微软雅黑" w:hAnsi="微软雅黑" w:eastAsia="微软雅黑" w:cs="微软雅黑"/>
          <w:color w:val="auto"/>
          <w:sz w:val="44"/>
          <w:szCs w:val="44"/>
        </w:rPr>
      </w:pPr>
      <w:r>
        <w:rPr>
          <w:rFonts w:hint="eastAsia" w:ascii="方正小标宋_GBK" w:hAnsi="方正小标宋_GBK" w:eastAsia="方正小标宋_GBK" w:cs="方正小标宋_GBK"/>
          <w:color w:val="auto"/>
          <w:sz w:val="44"/>
          <w:szCs w:val="44"/>
          <w:shd w:val="clear" w:color="auto" w:fill="FFFFFF"/>
        </w:rPr>
        <w:t>（第</w:t>
      </w:r>
      <w:r>
        <w:rPr>
          <w:rFonts w:hint="eastAsia" w:ascii="方正小标宋_GBK" w:hAnsi="方正小标宋_GBK" w:eastAsia="方正小标宋_GBK" w:cs="方正小标宋_GBK"/>
          <w:color w:val="auto"/>
          <w:sz w:val="44"/>
          <w:szCs w:val="44"/>
          <w:shd w:val="clear" w:color="auto" w:fill="FFFFFF"/>
          <w:lang w:val="en-US" w:eastAsia="zh-CN"/>
        </w:rPr>
        <w:t>4</w:t>
      </w:r>
      <w:r>
        <w:rPr>
          <w:rFonts w:hint="eastAsia" w:ascii="方正小标宋_GBK" w:hAnsi="方正小标宋_GBK" w:eastAsia="方正小标宋_GBK" w:cs="方正小标宋_GBK"/>
          <w:color w:val="auto"/>
          <w:sz w:val="44"/>
          <w:szCs w:val="44"/>
          <w:shd w:val="clear" w:color="auto" w:fill="FFFFFF"/>
        </w:rPr>
        <w:t>项）</w:t>
      </w:r>
    </w:p>
    <w:tbl>
      <w:tblPr>
        <w:tblStyle w:val="7"/>
        <w:tblpPr w:leftFromText="180" w:rightFromText="180" w:vertAnchor="text" w:horzAnchor="page" w:tblpX="1350" w:tblpY="667"/>
        <w:tblOverlap w:val="never"/>
        <w:tblW w:w="14114" w:type="dxa"/>
        <w:tblCellSpacing w:w="0" w:type="dxa"/>
        <w:tblInd w:w="0" w:type="dxa"/>
        <w:shd w:val="clear" w:color="auto" w:fill="FFFFFF"/>
        <w:tblLayout w:type="fixed"/>
        <w:tblCellMar>
          <w:top w:w="0" w:type="dxa"/>
          <w:left w:w="0" w:type="dxa"/>
          <w:bottom w:w="0" w:type="dxa"/>
          <w:right w:w="0" w:type="dxa"/>
        </w:tblCellMar>
      </w:tblPr>
      <w:tblGrid>
        <w:gridCol w:w="482"/>
        <w:gridCol w:w="1311"/>
        <w:gridCol w:w="12321"/>
      </w:tblGrid>
      <w:tr>
        <w:tblPrEx>
          <w:shd w:val="clear" w:color="auto" w:fill="FFFFFF"/>
          <w:tblLayout w:type="fixed"/>
          <w:tblCellMar>
            <w:top w:w="0" w:type="dxa"/>
            <w:left w:w="0" w:type="dxa"/>
            <w:bottom w:w="0" w:type="dxa"/>
            <w:right w:w="0" w:type="dxa"/>
          </w:tblCellMar>
        </w:tblPrEx>
        <w:trPr>
          <w:trHeight w:val="597" w:hRule="atLeast"/>
          <w:tblCellSpacing w:w="0" w:type="dxa"/>
        </w:trPr>
        <w:tc>
          <w:tcPr>
            <w:tcW w:w="482"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textAlignment w:val="auto"/>
              <w:outlineLvl w:val="9"/>
              <w:rPr>
                <w:color w:val="auto"/>
              </w:rPr>
            </w:pPr>
            <w:r>
              <w:rPr>
                <w:rFonts w:hint="eastAsia" w:ascii="黑体" w:hAnsi="宋体" w:eastAsia="黑体" w:cs="黑体"/>
                <w:color w:val="auto"/>
              </w:rPr>
              <w:t>序号</w:t>
            </w:r>
          </w:p>
        </w:tc>
        <w:tc>
          <w:tcPr>
            <w:tcW w:w="1311"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color w:val="auto"/>
              </w:rPr>
            </w:pPr>
            <w:r>
              <w:rPr>
                <w:rFonts w:hint="eastAsia" w:ascii="黑体" w:hAnsi="宋体" w:eastAsia="黑体" w:cs="黑体"/>
                <w:color w:val="auto"/>
              </w:rPr>
              <w:t>行政确认事项</w:t>
            </w:r>
          </w:p>
        </w:tc>
        <w:tc>
          <w:tcPr>
            <w:tcW w:w="12321"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center"/>
              <w:textAlignment w:val="auto"/>
              <w:outlineLvl w:val="9"/>
              <w:rPr>
                <w:color w:val="auto"/>
              </w:rPr>
            </w:pPr>
            <w:r>
              <w:rPr>
                <w:rFonts w:hint="eastAsia" w:ascii="黑体" w:hAnsi="宋体" w:eastAsia="黑体" w:cs="黑体"/>
                <w:color w:val="auto"/>
              </w:rPr>
              <w:t>对新参加被征地人员养老保险的审核</w:t>
            </w:r>
          </w:p>
        </w:tc>
      </w:tr>
      <w:tr>
        <w:tblPrEx>
          <w:tblLayout w:type="fixed"/>
          <w:tblCellMar>
            <w:top w:w="0" w:type="dxa"/>
            <w:left w:w="0" w:type="dxa"/>
            <w:bottom w:w="0" w:type="dxa"/>
            <w:right w:w="0" w:type="dxa"/>
          </w:tblCellMar>
        </w:tblPrEx>
        <w:trPr>
          <w:trHeight w:val="709" w:hRule="atLeast"/>
          <w:tblCellSpacing w:w="0" w:type="dxa"/>
        </w:trPr>
        <w:tc>
          <w:tcPr>
            <w:tcW w:w="48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center"/>
              <w:textAlignment w:val="auto"/>
              <w:outlineLvl w:val="9"/>
              <w:rPr>
                <w:color w:val="auto"/>
              </w:rPr>
            </w:pPr>
            <w:r>
              <w:rPr>
                <w:rFonts w:hint="eastAsia" w:ascii="仿宋" w:hAnsi="仿宋" w:eastAsia="仿宋" w:cs="仿宋"/>
                <w:color w:val="auto"/>
                <w:sz w:val="21"/>
                <w:szCs w:val="21"/>
              </w:rPr>
              <w:t>1</w:t>
            </w:r>
          </w:p>
        </w:tc>
        <w:tc>
          <w:tcPr>
            <w:tcW w:w="131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仿宋" w:hAnsi="仿宋" w:eastAsia="仿宋" w:cs="仿宋"/>
                <w:color w:val="auto"/>
              </w:rPr>
            </w:pPr>
            <w:r>
              <w:rPr>
                <w:rFonts w:hint="eastAsia" w:ascii="仿宋" w:hAnsi="仿宋" w:eastAsia="仿宋" w:cs="仿宋"/>
                <w:color w:val="auto"/>
              </w:rPr>
              <w:t>法律依据</w:t>
            </w:r>
          </w:p>
        </w:tc>
        <w:tc>
          <w:tcPr>
            <w:tcW w:w="12321"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textAlignment w:val="auto"/>
              <w:outlineLvl w:val="9"/>
              <w:rPr>
                <w:rFonts w:hint="eastAsia" w:ascii="仿宋_GB2312" w:hAnsi="微软雅黑" w:eastAsia="仿宋_GB2312" w:cs="仿宋_GB2312"/>
                <w:b/>
                <w:bCs/>
                <w:color w:val="auto"/>
                <w:sz w:val="22"/>
                <w:szCs w:val="22"/>
              </w:rPr>
            </w:pPr>
            <w:r>
              <w:rPr>
                <w:rFonts w:hint="eastAsia" w:ascii="仿宋_GB2312" w:hAnsi="微软雅黑" w:eastAsia="仿宋_GB2312" w:cs="仿宋_GB2312"/>
                <w:b/>
                <w:bCs/>
                <w:color w:val="auto"/>
                <w:sz w:val="22"/>
                <w:szCs w:val="22"/>
              </w:rPr>
              <w:t>1.《被征地农民基本养老保险暂行细则》；</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textAlignment w:val="auto"/>
              <w:outlineLvl w:val="9"/>
              <w:rPr>
                <w:rFonts w:hint="eastAsia"/>
                <w:color w:val="auto"/>
              </w:rPr>
            </w:pPr>
            <w:r>
              <w:rPr>
                <w:rFonts w:hint="eastAsia" w:ascii="仿宋_GB2312" w:hAnsi="微软雅黑" w:eastAsia="仿宋_GB2312" w:cs="仿宋_GB2312"/>
                <w:b/>
                <w:bCs/>
                <w:color w:val="auto"/>
                <w:sz w:val="22"/>
                <w:szCs w:val="22"/>
              </w:rPr>
              <w:t>2.2018年失地农民养老保险新政策</w:t>
            </w:r>
          </w:p>
        </w:tc>
      </w:tr>
      <w:tr>
        <w:tblPrEx>
          <w:tblLayout w:type="fixed"/>
          <w:tblCellMar>
            <w:top w:w="0" w:type="dxa"/>
            <w:left w:w="0" w:type="dxa"/>
            <w:bottom w:w="0" w:type="dxa"/>
            <w:right w:w="0" w:type="dxa"/>
          </w:tblCellMar>
        </w:tblPrEx>
        <w:trPr>
          <w:trHeight w:val="1009" w:hRule="atLeast"/>
          <w:tblCellSpacing w:w="0" w:type="dxa"/>
        </w:trPr>
        <w:tc>
          <w:tcPr>
            <w:tcW w:w="48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center"/>
              <w:textAlignment w:val="auto"/>
              <w:outlineLvl w:val="9"/>
              <w:rPr>
                <w:color w:val="auto"/>
              </w:rPr>
            </w:pPr>
            <w:r>
              <w:rPr>
                <w:rFonts w:hint="eastAsia" w:ascii="仿宋" w:hAnsi="仿宋" w:eastAsia="仿宋" w:cs="仿宋"/>
                <w:color w:val="auto"/>
                <w:sz w:val="21"/>
                <w:szCs w:val="21"/>
              </w:rPr>
              <w:t>2</w:t>
            </w:r>
          </w:p>
        </w:tc>
        <w:tc>
          <w:tcPr>
            <w:tcW w:w="131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仿宋" w:hAnsi="仿宋" w:eastAsia="仿宋" w:cs="仿宋"/>
                <w:color w:val="auto"/>
              </w:rPr>
            </w:pPr>
            <w:r>
              <w:rPr>
                <w:rFonts w:hint="eastAsia" w:ascii="仿宋" w:hAnsi="仿宋" w:eastAsia="仿宋" w:cs="仿宋"/>
                <w:color w:val="auto"/>
              </w:rPr>
              <w:t>行政确认</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仿宋" w:hAnsi="仿宋" w:eastAsia="仿宋" w:cs="仿宋"/>
                <w:color w:val="auto"/>
              </w:rPr>
            </w:pPr>
            <w:r>
              <w:rPr>
                <w:rFonts w:hint="eastAsia" w:ascii="仿宋" w:hAnsi="仿宋" w:eastAsia="仿宋" w:cs="仿宋"/>
                <w:color w:val="auto"/>
              </w:rPr>
              <w:t>条件</w:t>
            </w:r>
          </w:p>
        </w:tc>
        <w:tc>
          <w:tcPr>
            <w:tcW w:w="12321"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color w:val="auto"/>
              </w:rPr>
            </w:pPr>
            <w:r>
              <w:rPr>
                <w:rFonts w:hint="eastAsia" w:ascii="仿宋_GB2312" w:hAnsi="微软雅黑" w:eastAsia="仿宋_GB2312" w:cs="仿宋_GB2312"/>
                <w:color w:val="auto"/>
                <w:sz w:val="22"/>
                <w:szCs w:val="22"/>
              </w:rPr>
              <w:t>1.要有土地被政府征收的相关文件。2.写请示由街道各级领导签字。3.把参保人的相关材料报上级部门进行审核。4.上级部门审核通过后通知参保人按规定进行缴费。</w:t>
            </w:r>
          </w:p>
        </w:tc>
      </w:tr>
      <w:tr>
        <w:tblPrEx>
          <w:tblLayout w:type="fixed"/>
          <w:tblCellMar>
            <w:top w:w="0" w:type="dxa"/>
            <w:left w:w="0" w:type="dxa"/>
            <w:bottom w:w="0" w:type="dxa"/>
            <w:right w:w="0" w:type="dxa"/>
          </w:tblCellMar>
        </w:tblPrEx>
        <w:trPr>
          <w:trHeight w:val="482" w:hRule="atLeast"/>
          <w:tblCellSpacing w:w="0" w:type="dxa"/>
        </w:trPr>
        <w:tc>
          <w:tcPr>
            <w:tcW w:w="48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center"/>
              <w:textAlignment w:val="auto"/>
              <w:outlineLvl w:val="9"/>
              <w:rPr>
                <w:color w:val="auto"/>
              </w:rPr>
            </w:pPr>
            <w:r>
              <w:rPr>
                <w:rFonts w:hint="eastAsia" w:ascii="仿宋" w:hAnsi="仿宋" w:eastAsia="仿宋" w:cs="仿宋"/>
                <w:color w:val="auto"/>
                <w:sz w:val="21"/>
                <w:szCs w:val="21"/>
              </w:rPr>
              <w:t>3</w:t>
            </w:r>
          </w:p>
        </w:tc>
        <w:tc>
          <w:tcPr>
            <w:tcW w:w="131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仿宋" w:hAnsi="仿宋" w:eastAsia="仿宋" w:cs="仿宋"/>
                <w:color w:val="auto"/>
              </w:rPr>
            </w:pPr>
            <w:r>
              <w:rPr>
                <w:rFonts w:hint="eastAsia" w:ascii="仿宋" w:hAnsi="仿宋" w:eastAsia="仿宋" w:cs="仿宋"/>
                <w:color w:val="auto"/>
              </w:rPr>
              <w:t>申请材料</w:t>
            </w:r>
          </w:p>
        </w:tc>
        <w:tc>
          <w:tcPr>
            <w:tcW w:w="12321"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textAlignment w:val="auto"/>
              <w:outlineLvl w:val="9"/>
              <w:rPr>
                <w:rFonts w:hint="eastAsia" w:ascii="仿宋_GB2312" w:hAnsi="微软雅黑" w:eastAsia="仿宋_GB2312" w:cs="仿宋_GB2312"/>
                <w:color w:val="auto"/>
                <w:sz w:val="22"/>
                <w:szCs w:val="22"/>
              </w:rPr>
            </w:pPr>
            <w:r>
              <w:rPr>
                <w:rFonts w:hint="eastAsia" w:ascii="仿宋_GB2312" w:hAnsi="微软雅黑" w:eastAsia="仿宋_GB2312" w:cs="仿宋_GB2312"/>
                <w:color w:val="auto"/>
                <w:sz w:val="22"/>
                <w:szCs w:val="22"/>
              </w:rPr>
              <w:t>1.土地二轮承包合同(名册、证书)复印件;</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textAlignment w:val="auto"/>
              <w:outlineLvl w:val="9"/>
              <w:rPr>
                <w:rFonts w:hint="eastAsia" w:ascii="仿宋_GB2312" w:hAnsi="微软雅黑" w:eastAsia="仿宋_GB2312" w:cs="仿宋_GB2312"/>
                <w:color w:val="auto"/>
                <w:sz w:val="22"/>
                <w:szCs w:val="22"/>
              </w:rPr>
            </w:pPr>
            <w:r>
              <w:rPr>
                <w:rFonts w:hint="eastAsia" w:ascii="仿宋_GB2312" w:hAnsi="微软雅黑" w:eastAsia="仿宋_GB2312" w:cs="仿宋_GB2312"/>
                <w:color w:val="auto"/>
                <w:sz w:val="22"/>
                <w:szCs w:val="22"/>
              </w:rPr>
              <w:t>2.征地协议复印件;</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textAlignment w:val="auto"/>
              <w:outlineLvl w:val="9"/>
              <w:rPr>
                <w:rFonts w:hint="eastAsia" w:ascii="仿宋_GB2312" w:hAnsi="微软雅黑" w:eastAsia="仿宋_GB2312" w:cs="仿宋_GB2312"/>
                <w:color w:val="auto"/>
                <w:sz w:val="22"/>
                <w:szCs w:val="22"/>
              </w:rPr>
            </w:pPr>
            <w:r>
              <w:rPr>
                <w:rFonts w:hint="eastAsia" w:ascii="仿宋_GB2312" w:hAnsi="微软雅黑" w:eastAsia="仿宋_GB2312" w:cs="仿宋_GB2312"/>
                <w:color w:val="auto"/>
                <w:sz w:val="22"/>
                <w:szCs w:val="22"/>
              </w:rPr>
              <w:t>3.本人身份证、户口簿复印件;</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textAlignment w:val="auto"/>
              <w:outlineLvl w:val="9"/>
              <w:rPr>
                <w:rFonts w:hint="eastAsia" w:ascii="仿宋_GB2312" w:hAnsi="微软雅黑" w:eastAsia="仿宋_GB2312" w:cs="仿宋_GB2312"/>
                <w:color w:val="auto"/>
                <w:sz w:val="22"/>
                <w:szCs w:val="22"/>
              </w:rPr>
            </w:pPr>
            <w:r>
              <w:rPr>
                <w:rFonts w:hint="eastAsia" w:ascii="仿宋_GB2312" w:hAnsi="微软雅黑" w:eastAsia="仿宋_GB2312" w:cs="仿宋_GB2312"/>
                <w:color w:val="auto"/>
                <w:sz w:val="22"/>
                <w:szCs w:val="22"/>
              </w:rPr>
              <w:t>4.五张同底2寸彩照；</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textAlignment w:val="auto"/>
              <w:outlineLvl w:val="9"/>
              <w:rPr>
                <w:rFonts w:hint="eastAsia" w:ascii="仿宋_GB2312" w:hAnsi="微软雅黑" w:eastAsia="仿宋_GB2312" w:cs="仿宋_GB2312"/>
                <w:color w:val="auto"/>
                <w:sz w:val="22"/>
                <w:szCs w:val="22"/>
              </w:rPr>
            </w:pPr>
            <w:r>
              <w:rPr>
                <w:rFonts w:hint="eastAsia" w:ascii="仿宋_GB2312" w:hAnsi="微软雅黑" w:eastAsia="仿宋_GB2312" w:cs="仿宋_GB2312"/>
                <w:color w:val="auto"/>
                <w:sz w:val="22"/>
                <w:szCs w:val="22"/>
              </w:rPr>
              <w:t>5.《失地农民基本养老保险参保申报表》(一式四份)。</w:t>
            </w:r>
          </w:p>
        </w:tc>
      </w:tr>
      <w:tr>
        <w:tblPrEx>
          <w:tblLayout w:type="fixed"/>
          <w:tblCellMar>
            <w:top w:w="0" w:type="dxa"/>
            <w:left w:w="0" w:type="dxa"/>
            <w:bottom w:w="0" w:type="dxa"/>
            <w:right w:w="0" w:type="dxa"/>
          </w:tblCellMar>
        </w:tblPrEx>
        <w:trPr>
          <w:trHeight w:val="627" w:hRule="atLeast"/>
          <w:tblCellSpacing w:w="0" w:type="dxa"/>
        </w:trPr>
        <w:tc>
          <w:tcPr>
            <w:tcW w:w="48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jc w:val="center"/>
              <w:textAlignment w:val="auto"/>
              <w:outlineLvl w:val="9"/>
              <w:rPr>
                <w:color w:val="auto"/>
              </w:rPr>
            </w:pPr>
            <w:r>
              <w:rPr>
                <w:rFonts w:hint="eastAsia" w:ascii="仿宋" w:hAnsi="仿宋" w:eastAsia="仿宋" w:cs="仿宋"/>
                <w:color w:val="auto"/>
                <w:sz w:val="21"/>
                <w:szCs w:val="21"/>
              </w:rPr>
              <w:t>4</w:t>
            </w:r>
          </w:p>
        </w:tc>
        <w:tc>
          <w:tcPr>
            <w:tcW w:w="131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仿宋" w:hAnsi="仿宋" w:eastAsia="仿宋" w:cs="仿宋"/>
                <w:color w:val="auto"/>
              </w:rPr>
            </w:pPr>
            <w:r>
              <w:rPr>
                <w:rFonts w:hint="eastAsia" w:ascii="仿宋" w:hAnsi="仿宋" w:eastAsia="仿宋" w:cs="仿宋"/>
                <w:color w:val="auto"/>
              </w:rPr>
              <w:t>行政确认办理流程</w:t>
            </w:r>
          </w:p>
        </w:tc>
        <w:tc>
          <w:tcPr>
            <w:tcW w:w="12321"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textAlignment w:val="auto"/>
              <w:outlineLvl w:val="9"/>
              <w:rPr>
                <w:color w:val="auto"/>
              </w:rPr>
            </w:pPr>
            <w:r>
              <w:rPr>
                <w:rFonts w:hint="eastAsia" w:ascii="仿宋_GB2312" w:hAnsi="微软雅黑" w:eastAsia="仿宋_GB2312" w:cs="仿宋_GB2312"/>
                <w:color w:val="auto"/>
                <w:sz w:val="22"/>
                <w:szCs w:val="22"/>
              </w:rPr>
              <w:t>1.受理；2.合法性审核；3.作出认定。</w:t>
            </w:r>
          </w:p>
        </w:tc>
      </w:tr>
      <w:tr>
        <w:tblPrEx>
          <w:tblLayout w:type="fixed"/>
          <w:tblCellMar>
            <w:top w:w="0" w:type="dxa"/>
            <w:left w:w="0" w:type="dxa"/>
            <w:bottom w:w="0" w:type="dxa"/>
            <w:right w:w="0" w:type="dxa"/>
          </w:tblCellMar>
        </w:tblPrEx>
        <w:trPr>
          <w:trHeight w:val="502" w:hRule="atLeast"/>
          <w:tblCellSpacing w:w="0" w:type="dxa"/>
        </w:trPr>
        <w:tc>
          <w:tcPr>
            <w:tcW w:w="48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textAlignment w:val="auto"/>
              <w:outlineLvl w:val="9"/>
              <w:rPr>
                <w:color w:val="auto"/>
              </w:rPr>
            </w:pPr>
            <w:r>
              <w:rPr>
                <w:rFonts w:hint="eastAsia" w:ascii="宋体" w:hAnsi="宋体" w:cs="宋体"/>
                <w:color w:val="auto"/>
                <w:sz w:val="21"/>
                <w:szCs w:val="21"/>
              </w:rPr>
              <w:t>5</w:t>
            </w:r>
          </w:p>
        </w:tc>
        <w:tc>
          <w:tcPr>
            <w:tcW w:w="1311"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仿宋" w:hAnsi="仿宋" w:eastAsia="仿宋" w:cs="仿宋"/>
                <w:color w:val="auto"/>
              </w:rPr>
            </w:pPr>
            <w:r>
              <w:rPr>
                <w:rFonts w:hint="eastAsia" w:ascii="仿宋" w:hAnsi="仿宋" w:eastAsia="仿宋" w:cs="仿宋"/>
                <w:color w:val="auto"/>
              </w:rPr>
              <w:t>行政确认时限</w:t>
            </w:r>
          </w:p>
        </w:tc>
        <w:tc>
          <w:tcPr>
            <w:tcW w:w="12321"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textAlignment w:val="auto"/>
              <w:outlineLvl w:val="9"/>
              <w:rPr>
                <w:color w:val="auto"/>
              </w:rPr>
            </w:pPr>
            <w:r>
              <w:rPr>
                <w:rFonts w:hint="eastAsia" w:ascii="仿宋_GB2312" w:hAnsi="微软雅黑" w:eastAsia="仿宋_GB2312" w:cs="仿宋_GB2312"/>
                <w:color w:val="auto"/>
                <w:sz w:val="22"/>
                <w:szCs w:val="22"/>
              </w:rPr>
              <w:t>5个工作日内</w:t>
            </w:r>
          </w:p>
        </w:tc>
      </w:tr>
    </w:tbl>
    <w:p>
      <w:pPr>
        <w:pStyle w:val="4"/>
        <w:widowControl/>
        <w:shd w:val="clear" w:color="auto" w:fill="FFFFFF"/>
        <w:spacing w:before="150" w:beforeLines="0" w:beforeAutospacing="0" w:after="0" w:afterLines="0" w:afterAutospacing="0" w:line="495" w:lineRule="atLeast"/>
        <w:ind w:left="0" w:leftChars="0" w:right="0" w:rightChars="0" w:firstLine="0" w:firstLineChars="0"/>
        <w:jc w:val="both"/>
        <w:rPr>
          <w:rFonts w:hint="eastAsia" w:ascii="方正小标宋简体" w:hAnsi="方正小标宋简体" w:eastAsia="方正小标宋简体" w:cs="方正小标宋简体"/>
          <w:color w:val="auto"/>
          <w:sz w:val="43"/>
          <w:szCs w:val="43"/>
          <w:shd w:val="clear" w:color="auto" w:fill="FFFFFF"/>
        </w:rPr>
      </w:pPr>
      <w:bookmarkStart w:id="5" w:name="_GoBack"/>
      <w:bookmarkEnd w:id="5"/>
    </w:p>
    <w:p>
      <w:pPr>
        <w:pStyle w:val="4"/>
        <w:widowControl/>
        <w:shd w:val="clear" w:color="auto" w:fill="FFFFFF"/>
        <w:spacing w:before="150" w:beforeLines="0" w:beforeAutospacing="0" w:after="0" w:afterLines="0" w:afterAutospacing="0" w:line="495" w:lineRule="atLeast"/>
        <w:ind w:left="0" w:leftChars="0" w:right="0" w:rightChars="0" w:firstLine="0" w:firstLineChars="0"/>
        <w:jc w:val="center"/>
        <w:rPr>
          <w:rFonts w:hint="eastAsia" w:ascii="方正小标宋简体" w:hAnsi="方正小标宋简体" w:eastAsia="方正小标宋简体" w:cs="方正小标宋简体"/>
          <w:color w:val="auto"/>
          <w:sz w:val="43"/>
          <w:szCs w:val="43"/>
          <w:shd w:val="clear" w:color="auto" w:fill="FFFFFF"/>
        </w:rPr>
      </w:pPr>
      <w:r>
        <w:rPr>
          <w:rFonts w:hint="eastAsia" w:ascii="方正小标宋简体" w:hAnsi="方正小标宋简体" w:eastAsia="方正小标宋简体" w:cs="方正小标宋简体"/>
          <w:color w:val="auto"/>
          <w:sz w:val="43"/>
          <w:szCs w:val="43"/>
          <w:shd w:val="clear" w:color="auto" w:fill="FFFFFF"/>
        </w:rPr>
        <w:t>政处罚裁量权细化标准(共</w:t>
      </w:r>
      <w:r>
        <w:rPr>
          <w:rFonts w:hint="eastAsia" w:ascii="方正小标宋简体" w:hAnsi="方正小标宋简体" w:eastAsia="方正小标宋简体" w:cs="方正小标宋简体"/>
          <w:color w:val="auto"/>
          <w:sz w:val="43"/>
          <w:szCs w:val="43"/>
          <w:shd w:val="clear" w:color="auto" w:fill="FFFFFF"/>
          <w:lang w:val="en-US" w:eastAsia="zh-CN"/>
        </w:rPr>
        <w:t>2</w:t>
      </w:r>
      <w:r>
        <w:rPr>
          <w:rFonts w:hint="eastAsia" w:ascii="方正小标宋简体" w:hAnsi="方正小标宋简体" w:eastAsia="方正小标宋简体" w:cs="方正小标宋简体"/>
          <w:color w:val="auto"/>
          <w:sz w:val="43"/>
          <w:szCs w:val="43"/>
          <w:shd w:val="clear" w:color="auto" w:fill="FFFFFF"/>
        </w:rPr>
        <w:t>项）</w:t>
      </w:r>
    </w:p>
    <w:p>
      <w:pPr>
        <w:pStyle w:val="4"/>
        <w:widowControl/>
        <w:shd w:val="clear" w:color="auto" w:fill="FFFFFF"/>
        <w:spacing w:before="150" w:beforeLines="0" w:beforeAutospacing="0" w:after="0" w:afterLines="0" w:afterAutospacing="0" w:line="495" w:lineRule="atLeast"/>
        <w:ind w:left="0" w:leftChars="0" w:right="0" w:rightChars="0" w:firstLine="0" w:firstLineChars="0"/>
        <w:jc w:val="center"/>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（第1项）</w:t>
      </w:r>
    </w:p>
    <w:tbl>
      <w:tblPr>
        <w:tblStyle w:val="7"/>
        <w:tblW w:w="14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21"/>
        <w:gridCol w:w="1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793"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43"/>
                <w:szCs w:val="43"/>
                <w:shd w:val="clear" w:color="auto" w:fill="FFFFFF"/>
                <w:lang w:bidi="ar"/>
              </w:rPr>
            </w:pPr>
            <w:r>
              <w:rPr>
                <w:rFonts w:hint="eastAsia" w:ascii="仿宋_GB2312" w:hAnsi="仿宋_GB2312" w:eastAsia="仿宋_GB2312" w:cs="仿宋_GB2312"/>
                <w:b/>
                <w:bCs/>
                <w:color w:val="auto"/>
                <w:lang w:bidi="ar"/>
              </w:rPr>
              <w:t>序号</w:t>
            </w:r>
          </w:p>
        </w:tc>
        <w:tc>
          <w:tcPr>
            <w:tcW w:w="1121"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43"/>
                <w:szCs w:val="43"/>
                <w:shd w:val="clear" w:color="auto" w:fill="FFFFFF"/>
                <w:lang w:bidi="ar"/>
              </w:rPr>
            </w:pPr>
            <w:r>
              <w:rPr>
                <w:rFonts w:hint="eastAsia" w:ascii="仿宋_GB2312" w:hAnsi="仿宋_GB2312" w:eastAsia="仿宋_GB2312" w:cs="仿宋_GB2312"/>
                <w:b/>
                <w:bCs/>
                <w:color w:val="auto"/>
                <w:lang w:bidi="ar"/>
              </w:rPr>
              <w:t>行政处罚事项</w:t>
            </w:r>
          </w:p>
        </w:tc>
        <w:tc>
          <w:tcPr>
            <w:tcW w:w="12112"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43"/>
                <w:szCs w:val="43"/>
                <w:shd w:val="clear" w:color="auto" w:fill="FFFFFF"/>
                <w:lang w:bidi="ar"/>
              </w:rPr>
            </w:pPr>
            <w:r>
              <w:rPr>
                <w:rFonts w:hint="eastAsia" w:ascii="仿宋_GB2312" w:hAnsi="仿宋_GB2312" w:eastAsia="仿宋_GB2312" w:cs="仿宋_GB2312"/>
                <w:b/>
                <w:bCs/>
                <w:color w:val="auto"/>
                <w:lang w:bidi="ar"/>
              </w:rPr>
              <w:t>擅自在村庄、集镇规划区的街道、广场、市场和车站等场所修建临时建筑物、构筑物和其他设施的处罚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微软雅黑" w:eastAsia="仿宋_GB2312" w:cs="仿宋_GB2312"/>
                <w:color w:val="auto"/>
                <w:sz w:val="22"/>
                <w:szCs w:val="22"/>
                <w:lang w:bidi="ar"/>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微软雅黑" w:eastAsia="仿宋_GB2312" w:cs="仿宋_GB2312"/>
                <w:color w:val="auto"/>
                <w:sz w:val="22"/>
                <w:szCs w:val="22"/>
                <w:lang w:bidi="ar"/>
              </w:rPr>
            </w:pPr>
            <w:r>
              <w:rPr>
                <w:rFonts w:hint="eastAsia" w:ascii="仿宋_GB2312" w:hAnsi="微软雅黑" w:eastAsia="仿宋_GB2312" w:cs="仿宋_GB2312"/>
                <w:color w:val="auto"/>
                <w:sz w:val="22"/>
                <w:szCs w:val="22"/>
                <w:lang w:bidi="ar"/>
              </w:rPr>
              <w:t>1</w:t>
            </w:r>
          </w:p>
        </w:tc>
        <w:tc>
          <w:tcPr>
            <w:tcW w:w="1121"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方正小标宋_GBK" w:hAnsi="方正小标宋_GBK" w:eastAsia="方正小标宋_GBK" w:cs="方正小标宋_GBK"/>
                <w:color w:val="auto"/>
                <w:sz w:val="43"/>
                <w:szCs w:val="43"/>
                <w:shd w:val="clear" w:color="auto" w:fill="FFFFFF"/>
                <w:lang w:bidi="ar"/>
              </w:rPr>
            </w:pPr>
            <w:r>
              <w:rPr>
                <w:rFonts w:hint="eastAsia" w:ascii="仿宋_GB2312" w:hAnsi="微软雅黑" w:eastAsia="仿宋_GB2312" w:cs="仿宋_GB2312"/>
                <w:color w:val="auto"/>
                <w:sz w:val="22"/>
                <w:szCs w:val="22"/>
                <w:lang w:bidi="ar"/>
              </w:rPr>
              <w:t>法律依据</w:t>
            </w:r>
          </w:p>
        </w:tc>
        <w:tc>
          <w:tcPr>
            <w:tcW w:w="12112"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仿宋_GB2312" w:hAnsi="微软雅黑" w:eastAsia="仿宋_GB2312" w:cs="仿宋_GB2312"/>
                <w:b/>
                <w:bCs/>
                <w:color w:val="auto"/>
                <w:sz w:val="22"/>
                <w:szCs w:val="22"/>
                <w:lang w:bidi="ar"/>
              </w:rPr>
            </w:pPr>
            <w:r>
              <w:rPr>
                <w:rFonts w:hint="eastAsia" w:ascii="仿宋_GB2312" w:hAnsi="微软雅黑" w:eastAsia="仿宋_GB2312" w:cs="仿宋_GB2312"/>
                <w:b/>
                <w:bCs/>
                <w:color w:val="auto"/>
                <w:sz w:val="22"/>
                <w:szCs w:val="22"/>
                <w:lang w:bidi="ar"/>
              </w:rPr>
              <w:t>1.【行政法规】《村庄和集镇规划建设管理条例》（1993年国务院令第116号）第四十条；</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方正小标宋_GBK" w:hAnsi="方正小标宋_GBK" w:eastAsia="方正小标宋_GBK" w:cs="方正小标宋_GBK"/>
                <w:color w:val="auto"/>
                <w:sz w:val="43"/>
                <w:szCs w:val="43"/>
                <w:shd w:val="clear" w:color="auto" w:fill="FFFFFF"/>
                <w:lang w:bidi="ar"/>
              </w:rPr>
            </w:pPr>
            <w:r>
              <w:rPr>
                <w:rFonts w:hint="eastAsia" w:ascii="仿宋_GB2312" w:hAnsi="微软雅黑" w:eastAsia="仿宋_GB2312" w:cs="仿宋_GB2312"/>
                <w:b/>
                <w:bCs/>
                <w:color w:val="auto"/>
                <w:sz w:val="22"/>
                <w:szCs w:val="22"/>
                <w:lang w:bidi="ar"/>
              </w:rPr>
              <w:t>2.【地方政府规章】《宁夏回族自治区村庄和集镇规划建设管理实施办法》（2014年修正）第三十一条第一款。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微软雅黑" w:eastAsia="仿宋_GB2312" w:cs="仿宋_GB2312"/>
                <w:color w:val="auto"/>
                <w:sz w:val="22"/>
                <w:szCs w:val="22"/>
                <w:lang w:bidi="ar"/>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微软雅黑" w:eastAsia="仿宋_GB2312" w:cs="仿宋_GB2312"/>
                <w:color w:val="auto"/>
                <w:sz w:val="22"/>
                <w:szCs w:val="22"/>
                <w:lang w:bidi="ar"/>
              </w:rPr>
            </w:pPr>
            <w:r>
              <w:rPr>
                <w:rFonts w:hint="eastAsia" w:ascii="仿宋_GB2312" w:hAnsi="微软雅黑" w:eastAsia="仿宋_GB2312" w:cs="仿宋_GB2312"/>
                <w:color w:val="auto"/>
                <w:sz w:val="22"/>
                <w:szCs w:val="22"/>
                <w:lang w:bidi="ar"/>
              </w:rPr>
              <w:t>2</w:t>
            </w:r>
          </w:p>
        </w:tc>
        <w:tc>
          <w:tcPr>
            <w:tcW w:w="1121"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方正小标宋_GBK" w:hAnsi="方正小标宋_GBK" w:eastAsia="方正小标宋_GBK" w:cs="方正小标宋_GBK"/>
                <w:color w:val="auto"/>
                <w:sz w:val="43"/>
                <w:szCs w:val="43"/>
                <w:shd w:val="clear" w:color="auto" w:fill="FFFFFF"/>
                <w:lang w:bidi="ar"/>
              </w:rPr>
            </w:pPr>
            <w:r>
              <w:rPr>
                <w:rFonts w:hint="eastAsia" w:ascii="仿宋_GB2312" w:hAnsi="微软雅黑" w:eastAsia="仿宋_GB2312" w:cs="仿宋_GB2312"/>
                <w:color w:val="auto"/>
                <w:sz w:val="22"/>
                <w:szCs w:val="22"/>
                <w:lang w:bidi="ar"/>
              </w:rPr>
              <w:t>处罚条件</w:t>
            </w:r>
          </w:p>
        </w:tc>
        <w:tc>
          <w:tcPr>
            <w:tcW w:w="12112"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仿宋_GB2312" w:hAnsi="微软雅黑" w:eastAsia="仿宋_GB2312" w:cs="仿宋_GB2312"/>
                <w:color w:val="auto"/>
                <w:sz w:val="22"/>
                <w:szCs w:val="22"/>
                <w:lang w:bidi="ar"/>
              </w:rPr>
            </w:pPr>
            <w:r>
              <w:rPr>
                <w:rFonts w:hint="eastAsia" w:ascii="仿宋_GB2312" w:hAnsi="微软雅黑" w:eastAsia="仿宋_GB2312" w:cs="仿宋_GB2312"/>
                <w:color w:val="auto"/>
                <w:sz w:val="22"/>
                <w:szCs w:val="22"/>
                <w:lang w:bidi="ar"/>
              </w:rPr>
              <w:t>1.擅自在村庄、集镇规划区内的街道、广场、市场和车站等场所修建临时建筑物、构筑物和其他设施的；</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仿宋_GB2312" w:hAnsi="微软雅黑" w:eastAsia="仿宋_GB2312" w:cs="仿宋_GB2312"/>
                <w:color w:val="auto"/>
                <w:sz w:val="22"/>
                <w:szCs w:val="22"/>
                <w:lang w:bidi="ar"/>
              </w:rPr>
            </w:pPr>
            <w:r>
              <w:rPr>
                <w:rFonts w:hint="eastAsia" w:ascii="仿宋_GB2312" w:hAnsi="微软雅黑" w:eastAsia="仿宋_GB2312" w:cs="仿宋_GB2312"/>
                <w:color w:val="auto"/>
                <w:sz w:val="22"/>
                <w:szCs w:val="22"/>
                <w:lang w:bidi="ar"/>
              </w:rPr>
              <w:t>2.擅自在村镇规划区的公共场所修建临时建筑物、构筑物和其他设施的。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793"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微软雅黑" w:eastAsia="仿宋_GB2312" w:cs="仿宋_GB2312"/>
                <w:color w:val="auto"/>
                <w:kern w:val="0"/>
                <w:sz w:val="22"/>
                <w:szCs w:val="22"/>
                <w:lang w:val="en-US" w:eastAsia="zh-CN" w:bidi="ar"/>
              </w:rPr>
            </w:pPr>
          </w:p>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微软雅黑" w:eastAsia="仿宋_GB2312" w:cs="仿宋_GB2312"/>
                <w:color w:val="auto"/>
                <w:kern w:val="0"/>
                <w:sz w:val="22"/>
                <w:szCs w:val="22"/>
                <w:lang w:val="en-US" w:eastAsia="zh-CN" w:bidi="ar"/>
              </w:rPr>
            </w:pPr>
            <w:r>
              <w:rPr>
                <w:rFonts w:hint="eastAsia" w:ascii="仿宋_GB2312" w:hAnsi="微软雅黑" w:eastAsia="仿宋_GB2312" w:cs="仿宋_GB2312"/>
                <w:color w:val="auto"/>
                <w:kern w:val="0"/>
                <w:sz w:val="22"/>
                <w:szCs w:val="22"/>
                <w:lang w:val="en-US" w:eastAsia="zh-CN" w:bidi="ar"/>
              </w:rPr>
              <w:t>3</w:t>
            </w:r>
          </w:p>
        </w:tc>
        <w:tc>
          <w:tcPr>
            <w:tcW w:w="1121" w:type="dxa"/>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方正小标宋_GBK" w:hAnsi="方正小标宋_GBK" w:eastAsia="方正小标宋_GBK" w:cs="方正小标宋_GBK"/>
                <w:color w:val="auto"/>
                <w:sz w:val="43"/>
                <w:szCs w:val="43"/>
                <w:shd w:val="clear" w:color="auto" w:fill="FFFFFF"/>
                <w:lang w:bidi="ar"/>
              </w:rPr>
            </w:pPr>
            <w:r>
              <w:rPr>
                <w:rFonts w:hint="eastAsia" w:ascii="仿宋_GB2312" w:hAnsi="微软雅黑" w:eastAsia="仿宋_GB2312" w:cs="仿宋_GB2312"/>
                <w:color w:val="auto"/>
                <w:sz w:val="22"/>
                <w:szCs w:val="22"/>
                <w:lang w:bidi="ar"/>
              </w:rPr>
              <w:t>行政处罚办理流程</w:t>
            </w:r>
          </w:p>
        </w:tc>
        <w:tc>
          <w:tcPr>
            <w:tcW w:w="12112"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both"/>
              <w:textAlignment w:val="auto"/>
              <w:outlineLvl w:val="9"/>
              <w:rPr>
                <w:rFonts w:hint="eastAsia" w:ascii="方正小标宋_GBK" w:hAnsi="方正小标宋_GBK" w:eastAsia="方正小标宋_GBK" w:cs="方正小标宋_GBK"/>
                <w:color w:val="auto"/>
                <w:sz w:val="43"/>
                <w:szCs w:val="43"/>
                <w:shd w:val="clear" w:color="auto" w:fill="FFFFFF"/>
                <w:lang w:bidi="ar"/>
              </w:rPr>
            </w:pPr>
            <w:r>
              <w:rPr>
                <w:rFonts w:hint="eastAsia" w:ascii="仿宋_GB2312" w:hAnsi="微软雅黑" w:eastAsia="仿宋_GB2312" w:cs="仿宋_GB2312"/>
                <w:color w:val="auto"/>
                <w:sz w:val="22"/>
                <w:szCs w:val="22"/>
                <w:lang w:bidi="ar"/>
              </w:rPr>
              <w:t>1.</w:t>
            </w:r>
            <w:r>
              <w:rPr>
                <w:rFonts w:ascii="仿宋_GB2312" w:hAnsi="微软雅黑" w:eastAsia="仿宋_GB2312" w:cs="仿宋_GB2312"/>
                <w:color w:val="auto"/>
                <w:sz w:val="22"/>
                <w:szCs w:val="22"/>
                <w:lang w:bidi="ar"/>
              </w:rPr>
              <w:t>立案</w:t>
            </w:r>
            <w:r>
              <w:rPr>
                <w:rFonts w:hint="eastAsia" w:ascii="仿宋_GB2312" w:hAnsi="微软雅黑" w:eastAsia="仿宋_GB2312" w:cs="仿宋_GB2312"/>
                <w:color w:val="auto"/>
                <w:sz w:val="22"/>
                <w:szCs w:val="22"/>
                <w:lang w:bidi="ar"/>
              </w:rPr>
              <w:t>：乡（镇）人民政府予以审查，决定是否立案；</w:t>
            </w:r>
            <w:r>
              <w:rPr>
                <w:rFonts w:ascii="仿宋_GB2312" w:hAnsi="微软雅黑" w:eastAsia="仿宋_GB2312" w:cs="仿宋_GB2312"/>
                <w:color w:val="auto"/>
                <w:sz w:val="22"/>
                <w:szCs w:val="22"/>
                <w:lang w:bidi="ar"/>
              </w:rPr>
              <w:t>2.调查</w:t>
            </w:r>
            <w:r>
              <w:rPr>
                <w:rFonts w:hint="eastAsia" w:ascii="仿宋_GB2312" w:hAnsi="微软雅黑" w:eastAsia="仿宋_GB2312" w:cs="仿宋_GB2312"/>
                <w:color w:val="auto"/>
                <w:sz w:val="22"/>
                <w:szCs w:val="22"/>
                <w:lang w:bidi="ar"/>
              </w:rPr>
              <w:t>：2名以上执法人员进行调查，收集有关证据；</w:t>
            </w:r>
            <w:r>
              <w:rPr>
                <w:rFonts w:ascii="仿宋_GB2312" w:hAnsi="微软雅黑" w:eastAsia="仿宋_GB2312" w:cs="仿宋_GB2312"/>
                <w:color w:val="auto"/>
                <w:sz w:val="22"/>
                <w:szCs w:val="22"/>
                <w:lang w:bidi="ar"/>
              </w:rPr>
              <w:t>3.审查</w:t>
            </w:r>
            <w:r>
              <w:rPr>
                <w:rFonts w:hint="eastAsia" w:ascii="仿宋_GB2312" w:hAnsi="微软雅黑" w:eastAsia="仿宋_GB2312" w:cs="仿宋_GB2312"/>
                <w:color w:val="auto"/>
                <w:sz w:val="22"/>
                <w:szCs w:val="22"/>
                <w:lang w:bidi="ar"/>
              </w:rPr>
              <w:t>：对案件证据、事实以及调查报告进行审查；</w:t>
            </w:r>
            <w:r>
              <w:rPr>
                <w:rFonts w:ascii="仿宋_GB2312" w:hAnsi="微软雅黑" w:eastAsia="仿宋_GB2312" w:cs="仿宋_GB2312"/>
                <w:color w:val="auto"/>
                <w:sz w:val="22"/>
                <w:szCs w:val="22"/>
                <w:lang w:bidi="ar"/>
              </w:rPr>
              <w:t>4.告知</w:t>
            </w:r>
            <w:r>
              <w:rPr>
                <w:rFonts w:hint="eastAsia" w:ascii="仿宋_GB2312" w:hAnsi="微软雅黑" w:eastAsia="仿宋_GB2312" w:cs="仿宋_GB2312"/>
                <w:color w:val="auto"/>
                <w:sz w:val="22"/>
                <w:szCs w:val="22"/>
                <w:lang w:bidi="ar"/>
              </w:rPr>
              <w:t>：作出处罚前告知当事人享有陈述申辩权；5.决定：制作处罚决定书；6.送达：将处罚决定书送达当事人；7.执行。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ascii="方正小标宋_GBK" w:hAnsi="方正小标宋_GBK" w:eastAsia="方正小标宋_GBK" w:cs="方正小标宋_GBK"/>
                <w:color w:val="auto"/>
                <w:sz w:val="43"/>
                <w:szCs w:val="43"/>
                <w:shd w:val="clear" w:color="auto" w:fill="FFFFFF"/>
                <w:lang w:bidi="ar"/>
              </w:rPr>
            </w:pPr>
            <w:r>
              <w:rPr>
                <w:rFonts w:hint="eastAsia" w:ascii="仿宋_GB2312" w:hAnsi="微软雅黑" w:eastAsia="仿宋_GB2312" w:cs="仿宋_GB2312"/>
                <w:color w:val="auto"/>
                <w:sz w:val="22"/>
                <w:szCs w:val="22"/>
                <w:lang w:bidi="ar"/>
              </w:rPr>
              <w:t>4</w:t>
            </w:r>
          </w:p>
        </w:tc>
        <w:tc>
          <w:tcPr>
            <w:tcW w:w="1121"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3"/>
                <w:szCs w:val="43"/>
                <w:shd w:val="clear" w:color="auto" w:fill="FFFFFF"/>
                <w:lang w:bidi="ar"/>
              </w:rPr>
            </w:pPr>
            <w:r>
              <w:rPr>
                <w:rFonts w:hint="eastAsia" w:ascii="仿宋_GB2312" w:hAnsi="微软雅黑" w:eastAsia="仿宋_GB2312" w:cs="仿宋_GB2312"/>
                <w:color w:val="auto"/>
                <w:sz w:val="22"/>
                <w:szCs w:val="22"/>
                <w:lang w:bidi="ar"/>
              </w:rPr>
              <w:t>时限</w:t>
            </w:r>
          </w:p>
        </w:tc>
        <w:tc>
          <w:tcPr>
            <w:tcW w:w="12112"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ascii="方正小标宋_GBK" w:hAnsi="方正小标宋_GBK" w:eastAsia="方正小标宋_GBK" w:cs="方正小标宋_GBK"/>
                <w:color w:val="auto"/>
                <w:sz w:val="43"/>
                <w:szCs w:val="43"/>
                <w:shd w:val="clear" w:color="auto" w:fill="FFFFFF"/>
                <w:lang w:bidi="ar"/>
              </w:rPr>
            </w:pPr>
            <w:r>
              <w:rPr>
                <w:rFonts w:hint="eastAsia" w:ascii="仿宋_GB2312" w:hAnsi="微软雅黑" w:eastAsia="仿宋_GB2312" w:cs="仿宋_GB2312"/>
                <w:color w:val="auto"/>
                <w:sz w:val="22"/>
                <w:szCs w:val="22"/>
                <w:lang w:bidi="ar"/>
              </w:rPr>
              <w:t>15个工作日内</w:t>
            </w:r>
          </w:p>
        </w:tc>
      </w:tr>
    </w:tbl>
    <w:p>
      <w:pPr>
        <w:pStyle w:val="4"/>
        <w:widowControl/>
        <w:shd w:val="clear" w:color="auto" w:fill="FFFFFF"/>
        <w:spacing w:before="150" w:beforeLines="0" w:beforeAutospacing="0" w:after="0" w:afterLines="0" w:afterAutospacing="0" w:line="495" w:lineRule="atLeast"/>
        <w:ind w:left="0" w:leftChars="0" w:firstLine="0" w:firstLineChars="0"/>
        <w:jc w:val="center"/>
        <w:rPr>
          <w:rFonts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(第2项)</w:t>
      </w:r>
    </w:p>
    <w:tbl>
      <w:tblPr>
        <w:tblStyle w:val="7"/>
        <w:tblW w:w="14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08"/>
        <w:gridCol w:w="1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43"/>
                <w:szCs w:val="43"/>
                <w:shd w:val="clear" w:color="auto" w:fill="FFFFFF"/>
                <w:lang w:bidi="ar"/>
              </w:rPr>
            </w:pPr>
            <w:r>
              <w:rPr>
                <w:rFonts w:hint="eastAsia" w:ascii="仿宋_GB2312" w:hAnsi="仿宋_GB2312" w:eastAsia="仿宋_GB2312" w:cs="仿宋_GB2312"/>
                <w:b/>
                <w:bCs/>
                <w:color w:val="auto"/>
                <w:lang w:bidi="ar"/>
              </w:rPr>
              <w:t>序号</w:t>
            </w:r>
          </w:p>
        </w:tc>
        <w:tc>
          <w:tcPr>
            <w:tcW w:w="1308"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43"/>
                <w:szCs w:val="43"/>
                <w:shd w:val="clear" w:color="auto" w:fill="FFFFFF"/>
                <w:lang w:bidi="ar"/>
              </w:rPr>
            </w:pPr>
            <w:r>
              <w:rPr>
                <w:rFonts w:hint="eastAsia" w:ascii="仿宋_GB2312" w:hAnsi="仿宋_GB2312" w:eastAsia="仿宋_GB2312" w:cs="仿宋_GB2312"/>
                <w:b/>
                <w:bCs/>
                <w:color w:val="auto"/>
                <w:lang w:bidi="ar"/>
              </w:rPr>
              <w:t>行政处罚事项</w:t>
            </w:r>
          </w:p>
        </w:tc>
        <w:tc>
          <w:tcPr>
            <w:tcW w:w="12107"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43"/>
                <w:szCs w:val="43"/>
                <w:shd w:val="clear" w:color="auto" w:fill="FFFFFF"/>
                <w:lang w:bidi="ar"/>
              </w:rPr>
            </w:pPr>
            <w:r>
              <w:rPr>
                <w:rFonts w:hint="eastAsia" w:ascii="仿宋_GB2312" w:hAnsi="仿宋_GB2312" w:eastAsia="仿宋_GB2312" w:cs="仿宋_GB2312"/>
                <w:b/>
                <w:bCs/>
                <w:color w:val="auto"/>
                <w:lang w:bidi="ar"/>
              </w:rPr>
              <w:t>损坏村庄和集镇的房屋、公共设施，破坏村容村貌和环境卫生的处罚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1308"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3"/>
                <w:szCs w:val="43"/>
                <w:shd w:val="clear" w:color="auto" w:fill="FFFFFF"/>
                <w:lang w:bidi="ar"/>
              </w:rPr>
            </w:pPr>
            <w:r>
              <w:rPr>
                <w:rFonts w:hint="eastAsia" w:ascii="仿宋_GB2312" w:hAnsi="微软雅黑" w:eastAsia="仿宋_GB2312" w:cs="仿宋_GB2312"/>
                <w:color w:val="auto"/>
                <w:sz w:val="22"/>
                <w:szCs w:val="22"/>
                <w:lang w:bidi="ar"/>
              </w:rPr>
              <w:t>法律依据</w:t>
            </w:r>
          </w:p>
        </w:tc>
        <w:tc>
          <w:tcPr>
            <w:tcW w:w="12107"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仿宋_GB2312" w:hAnsi="微软雅黑" w:eastAsia="仿宋_GB2312" w:cs="仿宋_GB2312"/>
                <w:b/>
                <w:bCs/>
                <w:color w:val="auto"/>
                <w:sz w:val="22"/>
                <w:szCs w:val="22"/>
                <w:lang w:bidi="ar"/>
              </w:rPr>
            </w:pPr>
            <w:r>
              <w:rPr>
                <w:rFonts w:hint="eastAsia" w:ascii="仿宋_GB2312" w:hAnsi="微软雅黑" w:eastAsia="仿宋_GB2312" w:cs="仿宋_GB2312"/>
                <w:b/>
                <w:bCs/>
                <w:color w:val="auto"/>
                <w:sz w:val="22"/>
                <w:szCs w:val="22"/>
                <w:lang w:bidi="ar"/>
              </w:rPr>
              <w:t>1.【行政法规】《村庄和集镇规划建设管理条例》（1993年国务院令第116号）第三十九条；</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方正小标宋_GBK" w:hAnsi="方正小标宋_GBK" w:eastAsia="方正小标宋_GBK" w:cs="方正小标宋_GBK"/>
                <w:color w:val="auto"/>
                <w:sz w:val="43"/>
                <w:szCs w:val="43"/>
                <w:shd w:val="clear" w:color="auto" w:fill="FFFFFF"/>
                <w:lang w:bidi="ar"/>
              </w:rPr>
            </w:pPr>
            <w:r>
              <w:rPr>
                <w:rFonts w:hint="eastAsia" w:ascii="仿宋_GB2312" w:hAnsi="微软雅黑" w:eastAsia="仿宋_GB2312" w:cs="仿宋_GB2312"/>
                <w:b/>
                <w:bCs/>
                <w:color w:val="auto"/>
                <w:sz w:val="22"/>
                <w:szCs w:val="22"/>
                <w:lang w:bidi="ar"/>
              </w:rPr>
              <w:t xml:space="preserve">2. 【地方政府规章】《宁夏回族自治区村庄和集镇规划建设管理实施办法》（2014年修正）第三十条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ascii="方正小标宋_GBK" w:hAnsi="方正小标宋_GBK" w:eastAsia="方正小标宋_GBK" w:cs="方正小标宋_GBK"/>
                <w:color w:val="auto"/>
                <w:sz w:val="21"/>
                <w:szCs w:val="21"/>
                <w:shd w:val="clear" w:color="auto" w:fill="FFFFFF"/>
                <w:lang w:bidi="ar"/>
              </w:rPr>
            </w:pPr>
            <w:r>
              <w:rPr>
                <w:rFonts w:hint="eastAsia" w:ascii="黑体" w:hAnsi="宋体" w:eastAsia="黑体" w:cs="黑体"/>
                <w:color w:val="auto"/>
                <w:sz w:val="21"/>
                <w:szCs w:val="21"/>
                <w:lang w:bidi="ar"/>
              </w:rPr>
              <w:t>2</w:t>
            </w:r>
          </w:p>
        </w:tc>
        <w:tc>
          <w:tcPr>
            <w:tcW w:w="1308"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方正小标宋_GBK" w:hAnsi="方正小标宋_GBK" w:eastAsia="方正小标宋_GBK" w:cs="方正小标宋_GBK"/>
                <w:color w:val="auto"/>
                <w:sz w:val="43"/>
                <w:szCs w:val="43"/>
                <w:shd w:val="clear" w:color="auto" w:fill="FFFFFF"/>
                <w:lang w:bidi="ar"/>
              </w:rPr>
            </w:pPr>
            <w:r>
              <w:rPr>
                <w:rFonts w:hint="eastAsia" w:ascii="仿宋_GB2312" w:hAnsi="微软雅黑" w:eastAsia="仿宋_GB2312" w:cs="仿宋_GB2312"/>
                <w:color w:val="auto"/>
                <w:sz w:val="22"/>
                <w:szCs w:val="22"/>
                <w:lang w:bidi="ar"/>
              </w:rPr>
              <w:t>处罚条件</w:t>
            </w:r>
          </w:p>
        </w:tc>
        <w:tc>
          <w:tcPr>
            <w:tcW w:w="12107"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方正小标宋_GBK" w:hAnsi="方正小标宋_GBK" w:eastAsia="方正小标宋_GBK" w:cs="方正小标宋_GBK"/>
                <w:color w:val="auto"/>
                <w:sz w:val="43"/>
                <w:szCs w:val="43"/>
                <w:shd w:val="clear" w:color="auto" w:fill="FFFFFF"/>
                <w:lang w:bidi="ar"/>
              </w:rPr>
            </w:pPr>
            <w:r>
              <w:rPr>
                <w:rFonts w:hint="eastAsia" w:ascii="仿宋_GB2312" w:hAnsi="微软雅黑" w:eastAsia="仿宋_GB2312" w:cs="仿宋_GB2312"/>
                <w:color w:val="auto"/>
                <w:sz w:val="22"/>
                <w:szCs w:val="22"/>
                <w:lang w:bidi="ar"/>
              </w:rPr>
              <w:t xml:space="preserve">1.损坏村庄和集镇的房屋、公共设施的；2.乱堆粪便、垃圾、柴草，破坏村容镇貌和环境卫生的。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701" w:type="dxa"/>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color w:val="auto"/>
                <w:sz w:val="21"/>
                <w:szCs w:val="21"/>
              </w:rPr>
            </w:pPr>
          </w:p>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1308"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方正小标宋_GBK" w:hAnsi="方正小标宋_GBK" w:eastAsia="方正小标宋_GBK" w:cs="方正小标宋_GBK"/>
                <w:color w:val="auto"/>
                <w:sz w:val="43"/>
                <w:szCs w:val="43"/>
                <w:shd w:val="clear" w:color="auto" w:fill="FFFFFF"/>
                <w:lang w:bidi="ar"/>
              </w:rPr>
            </w:pPr>
            <w:r>
              <w:rPr>
                <w:rFonts w:hint="eastAsia" w:ascii="仿宋_GB2312" w:hAnsi="微软雅黑" w:eastAsia="仿宋_GB2312" w:cs="仿宋_GB2312"/>
                <w:color w:val="auto"/>
                <w:sz w:val="22"/>
                <w:szCs w:val="22"/>
                <w:lang w:bidi="ar"/>
              </w:rPr>
              <w:t>行政处罚办理流程</w:t>
            </w:r>
          </w:p>
        </w:tc>
        <w:tc>
          <w:tcPr>
            <w:tcW w:w="12107"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both"/>
              <w:textAlignment w:val="auto"/>
              <w:outlineLvl w:val="9"/>
              <w:rPr>
                <w:rFonts w:hint="eastAsia" w:ascii="方正小标宋_GBK" w:hAnsi="方正小标宋_GBK" w:eastAsia="方正小标宋_GBK" w:cs="方正小标宋_GBK"/>
                <w:color w:val="auto"/>
                <w:sz w:val="43"/>
                <w:szCs w:val="43"/>
                <w:shd w:val="clear" w:color="auto" w:fill="FFFFFF"/>
                <w:lang w:bidi="ar"/>
              </w:rPr>
            </w:pPr>
            <w:r>
              <w:rPr>
                <w:rFonts w:hint="eastAsia" w:ascii="仿宋_GB2312" w:hAnsi="微软雅黑" w:eastAsia="仿宋_GB2312" w:cs="仿宋_GB2312"/>
                <w:color w:val="auto"/>
                <w:sz w:val="22"/>
                <w:szCs w:val="22"/>
                <w:lang w:bidi="ar"/>
              </w:rPr>
              <w:t>1.</w:t>
            </w:r>
            <w:r>
              <w:rPr>
                <w:rFonts w:ascii="仿宋_GB2312" w:hAnsi="微软雅黑" w:eastAsia="仿宋_GB2312" w:cs="仿宋_GB2312"/>
                <w:color w:val="auto"/>
                <w:sz w:val="22"/>
                <w:szCs w:val="22"/>
                <w:lang w:bidi="ar"/>
              </w:rPr>
              <w:t>立案</w:t>
            </w:r>
            <w:r>
              <w:rPr>
                <w:rFonts w:hint="eastAsia" w:ascii="仿宋_GB2312" w:hAnsi="微软雅黑" w:eastAsia="仿宋_GB2312" w:cs="仿宋_GB2312"/>
                <w:color w:val="auto"/>
                <w:sz w:val="22"/>
                <w:szCs w:val="22"/>
                <w:lang w:bidi="ar"/>
              </w:rPr>
              <w:t>：乡（镇）人民政府予以审查，决定是否立案；</w:t>
            </w:r>
            <w:r>
              <w:rPr>
                <w:rFonts w:ascii="仿宋_GB2312" w:hAnsi="微软雅黑" w:eastAsia="仿宋_GB2312" w:cs="仿宋_GB2312"/>
                <w:color w:val="auto"/>
                <w:sz w:val="22"/>
                <w:szCs w:val="22"/>
                <w:lang w:bidi="ar"/>
              </w:rPr>
              <w:t>2.调查</w:t>
            </w:r>
            <w:r>
              <w:rPr>
                <w:rFonts w:hint="eastAsia" w:ascii="仿宋_GB2312" w:hAnsi="微软雅黑" w:eastAsia="仿宋_GB2312" w:cs="仿宋_GB2312"/>
                <w:color w:val="auto"/>
                <w:sz w:val="22"/>
                <w:szCs w:val="22"/>
                <w:lang w:bidi="ar"/>
              </w:rPr>
              <w:t>：2名以上执法人员进行调查，收集有关证据；</w:t>
            </w:r>
            <w:r>
              <w:rPr>
                <w:rFonts w:ascii="仿宋_GB2312" w:hAnsi="微软雅黑" w:eastAsia="仿宋_GB2312" w:cs="仿宋_GB2312"/>
                <w:color w:val="auto"/>
                <w:sz w:val="22"/>
                <w:szCs w:val="22"/>
                <w:lang w:bidi="ar"/>
              </w:rPr>
              <w:t>3.审查</w:t>
            </w:r>
            <w:r>
              <w:rPr>
                <w:rFonts w:hint="eastAsia" w:ascii="仿宋_GB2312" w:hAnsi="微软雅黑" w:eastAsia="仿宋_GB2312" w:cs="仿宋_GB2312"/>
                <w:color w:val="auto"/>
                <w:sz w:val="22"/>
                <w:szCs w:val="22"/>
                <w:lang w:bidi="ar"/>
              </w:rPr>
              <w:t>：对案件证据、事实以及调查报告进行审查；</w:t>
            </w:r>
            <w:r>
              <w:rPr>
                <w:rFonts w:ascii="仿宋_GB2312" w:hAnsi="微软雅黑" w:eastAsia="仿宋_GB2312" w:cs="仿宋_GB2312"/>
                <w:color w:val="auto"/>
                <w:sz w:val="22"/>
                <w:szCs w:val="22"/>
                <w:lang w:bidi="ar"/>
              </w:rPr>
              <w:t>4.告知</w:t>
            </w:r>
            <w:r>
              <w:rPr>
                <w:rFonts w:hint="eastAsia" w:ascii="仿宋_GB2312" w:hAnsi="微软雅黑" w:eastAsia="仿宋_GB2312" w:cs="仿宋_GB2312"/>
                <w:color w:val="auto"/>
                <w:sz w:val="22"/>
                <w:szCs w:val="22"/>
                <w:lang w:bidi="ar"/>
              </w:rPr>
              <w:t>：作出处罚前告知当事人享有陈述申辩权；5.决定：制作处罚决定书；6.送达：将处罚决定书送达当事人；7.执行。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701"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ascii="方正小标宋_GBK" w:hAnsi="方正小标宋_GBK" w:eastAsia="方正小标宋_GBK" w:cs="方正小标宋_GBK"/>
                <w:color w:val="auto"/>
                <w:sz w:val="43"/>
                <w:szCs w:val="43"/>
                <w:shd w:val="clear" w:color="auto" w:fill="FFFFFF"/>
                <w:lang w:bidi="ar"/>
              </w:rPr>
            </w:pPr>
            <w:r>
              <w:rPr>
                <w:rFonts w:hint="eastAsia"/>
                <w:color w:val="auto"/>
                <w:kern w:val="2"/>
                <w:sz w:val="21"/>
              </w:rPr>
              <w:t>4</w:t>
            </w:r>
          </w:p>
        </w:tc>
        <w:tc>
          <w:tcPr>
            <w:tcW w:w="1308"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rFonts w:hint="eastAsia" w:ascii="方正小标宋_GBK" w:hAnsi="方正小标宋_GBK" w:eastAsia="方正小标宋_GBK" w:cs="方正小标宋_GBK"/>
                <w:color w:val="auto"/>
                <w:sz w:val="43"/>
                <w:szCs w:val="43"/>
                <w:shd w:val="clear" w:color="auto" w:fill="FFFFFF"/>
                <w:lang w:bidi="ar"/>
              </w:rPr>
            </w:pPr>
            <w:r>
              <w:rPr>
                <w:rFonts w:hint="eastAsia" w:ascii="仿宋_GB2312" w:hAnsi="微软雅黑" w:eastAsia="仿宋_GB2312" w:cs="仿宋_GB2312"/>
                <w:color w:val="auto"/>
                <w:sz w:val="22"/>
                <w:szCs w:val="22"/>
                <w:lang w:bidi="ar"/>
              </w:rPr>
              <w:t>处罚时限</w:t>
            </w:r>
          </w:p>
        </w:tc>
        <w:tc>
          <w:tcPr>
            <w:tcW w:w="12107" w:type="dxa"/>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ascii="方正小标宋_GBK" w:hAnsi="方正小标宋_GBK" w:eastAsia="方正小标宋_GBK" w:cs="方正小标宋_GBK"/>
                <w:color w:val="auto"/>
                <w:sz w:val="43"/>
                <w:szCs w:val="43"/>
                <w:shd w:val="clear" w:color="auto" w:fill="FFFFFF"/>
                <w:lang w:bidi="ar"/>
              </w:rPr>
            </w:pPr>
            <w:r>
              <w:rPr>
                <w:rFonts w:hint="eastAsia" w:ascii="仿宋_GB2312" w:hAnsi="微软雅黑" w:eastAsia="仿宋_GB2312" w:cs="仿宋_GB2312"/>
                <w:color w:val="auto"/>
                <w:sz w:val="22"/>
                <w:szCs w:val="22"/>
                <w:lang w:bidi="ar"/>
              </w:rPr>
              <w:t>15个工作日内</w:t>
            </w:r>
          </w:p>
        </w:tc>
      </w:tr>
    </w:tbl>
    <w:p>
      <w:pPr>
        <w:pStyle w:val="4"/>
        <w:widowControl/>
        <w:shd w:val="clear" w:color="auto" w:fill="FFFFFF"/>
        <w:spacing w:before="150" w:beforeLines="0" w:beforeAutospacing="0" w:after="0" w:afterLines="0" w:afterAutospacing="0" w:line="495" w:lineRule="atLeast"/>
        <w:ind w:left="0" w:leftChars="0"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shd w:val="clear" w:color="auto" w:fill="FFFFFF"/>
        </w:rPr>
        <w:t>规范其他行政行为裁量权细化标准(共</w:t>
      </w:r>
      <w:r>
        <w:rPr>
          <w:rFonts w:hint="eastAsia" w:ascii="方正小标宋简体" w:hAnsi="方正小标宋简体" w:eastAsia="方正小标宋简体" w:cs="方正小标宋简体"/>
          <w:color w:val="auto"/>
          <w:sz w:val="44"/>
          <w:szCs w:val="44"/>
          <w:shd w:val="clear" w:color="auto" w:fill="FFFFFF"/>
          <w:lang w:val="en-US" w:eastAsia="zh-CN"/>
        </w:rPr>
        <w:t>6</w:t>
      </w:r>
      <w:r>
        <w:rPr>
          <w:rFonts w:hint="eastAsia" w:ascii="方正小标宋简体" w:hAnsi="方正小标宋简体" w:eastAsia="方正小标宋简体" w:cs="方正小标宋简体"/>
          <w:color w:val="auto"/>
          <w:sz w:val="44"/>
          <w:szCs w:val="44"/>
          <w:shd w:val="clear" w:color="auto" w:fill="FFFFFF"/>
        </w:rPr>
        <w:t>项)</w:t>
      </w:r>
    </w:p>
    <w:p>
      <w:pPr>
        <w:pStyle w:val="4"/>
        <w:widowControl/>
        <w:shd w:val="clear" w:color="auto" w:fill="FFFFFF"/>
        <w:spacing w:before="150" w:beforeLines="0" w:beforeAutospacing="0" w:after="0" w:afterLines="0" w:afterAutospacing="0" w:line="495" w:lineRule="atLeast"/>
        <w:jc w:val="center"/>
        <w:rPr>
          <w:rFonts w:hint="eastAsia" w:ascii="微软雅黑" w:hAnsi="微软雅黑" w:eastAsia="微软雅黑" w:cs="微软雅黑"/>
          <w:color w:val="auto"/>
          <w:sz w:val="44"/>
          <w:szCs w:val="44"/>
        </w:rPr>
      </w:pPr>
      <w:r>
        <w:rPr>
          <w:rFonts w:hint="eastAsia" w:ascii="方正小标宋_GBK" w:hAnsi="方正小标宋_GBK" w:eastAsia="方正小标宋_GBK" w:cs="方正小标宋_GBK"/>
          <w:color w:val="auto"/>
          <w:sz w:val="44"/>
          <w:szCs w:val="44"/>
          <w:shd w:val="clear" w:color="auto" w:fill="FFFFFF"/>
        </w:rPr>
        <w:t>(第1项)</w:t>
      </w:r>
    </w:p>
    <w:tbl>
      <w:tblPr>
        <w:tblStyle w:val="7"/>
        <w:tblW w:w="14215" w:type="dxa"/>
        <w:tblCellSpacing w:w="0" w:type="dxa"/>
        <w:tblInd w:w="-87" w:type="dxa"/>
        <w:shd w:val="clear" w:color="auto" w:fill="FFFFFF"/>
        <w:tblLayout w:type="fixed"/>
        <w:tblCellMar>
          <w:top w:w="0" w:type="dxa"/>
          <w:left w:w="0" w:type="dxa"/>
          <w:bottom w:w="0" w:type="dxa"/>
          <w:right w:w="0" w:type="dxa"/>
        </w:tblCellMar>
      </w:tblPr>
      <w:tblGrid>
        <w:gridCol w:w="525"/>
        <w:gridCol w:w="935"/>
        <w:gridCol w:w="12755"/>
      </w:tblGrid>
      <w:tr>
        <w:tblPrEx>
          <w:shd w:val="clear" w:color="auto" w:fill="FFFFFF"/>
          <w:tblLayout w:type="fixed"/>
          <w:tblCellMar>
            <w:top w:w="0" w:type="dxa"/>
            <w:left w:w="0" w:type="dxa"/>
            <w:bottom w:w="0" w:type="dxa"/>
            <w:right w:w="0" w:type="dxa"/>
          </w:tblCellMar>
        </w:tblPrEx>
        <w:trPr>
          <w:trHeight w:val="1193" w:hRule="atLeast"/>
          <w:tblCellSpacing w:w="0" w:type="dxa"/>
        </w:trPr>
        <w:tc>
          <w:tcPr>
            <w:tcW w:w="52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序号</w:t>
            </w:r>
          </w:p>
        </w:tc>
        <w:tc>
          <w:tcPr>
            <w:tcW w:w="93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其他行政行为事项</w:t>
            </w:r>
          </w:p>
        </w:tc>
        <w:tc>
          <w:tcPr>
            <w:tcW w:w="1275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黑体" w:hAnsi="宋体" w:eastAsia="黑体" w:cs="黑体"/>
                <w:color w:val="auto"/>
              </w:rPr>
              <w:t>第一项 受委托对违法生育行为进行调查取证</w:t>
            </w:r>
          </w:p>
        </w:tc>
      </w:tr>
      <w:tr>
        <w:tblPrEx>
          <w:tblLayout w:type="fixed"/>
          <w:tblCellMar>
            <w:top w:w="0" w:type="dxa"/>
            <w:left w:w="0" w:type="dxa"/>
            <w:bottom w:w="0" w:type="dxa"/>
            <w:right w:w="0" w:type="dxa"/>
          </w:tblCellMar>
        </w:tblPrEx>
        <w:trPr>
          <w:trHeight w:val="823" w:hRule="atLeast"/>
          <w:tblCellSpacing w:w="0" w:type="dxa"/>
        </w:trPr>
        <w:tc>
          <w:tcPr>
            <w:tcW w:w="52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1</w:t>
            </w:r>
          </w:p>
        </w:tc>
        <w:tc>
          <w:tcPr>
            <w:tcW w:w="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法律</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依据</w:t>
            </w:r>
          </w:p>
        </w:tc>
        <w:tc>
          <w:tcPr>
            <w:tcW w:w="1275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b/>
                <w:bCs/>
                <w:color w:val="auto"/>
                <w:sz w:val="22"/>
                <w:szCs w:val="22"/>
              </w:rPr>
              <w:t>关于印发《宁夏回族自治区基本医疗保险监控业务管理规程》的通知：</w:t>
            </w:r>
            <w:r>
              <w:rPr>
                <w:rFonts w:hint="eastAsia" w:ascii="仿宋" w:hAnsi="仿宋" w:eastAsia="仿宋" w:cs="仿宋"/>
                <w:color w:val="auto"/>
                <w:sz w:val="22"/>
                <w:szCs w:val="22"/>
              </w:rPr>
              <w:t>宁社保发〔2014〕18号第二条  本规程用于规范医保经办机构内设医保监控机构的岗位设置、业务流程、内部控制、档案管理以及接受人力资源社会保障部门委托组织实施行政监督等业务。</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color w:val="auto"/>
              </w:rPr>
            </w:pPr>
            <w:r>
              <w:rPr>
                <w:rFonts w:hint="eastAsia" w:ascii="仿宋" w:hAnsi="仿宋" w:eastAsia="仿宋" w:cs="仿宋"/>
                <w:color w:val="auto"/>
                <w:sz w:val="22"/>
                <w:szCs w:val="22"/>
              </w:rPr>
              <w:t> </w:t>
            </w:r>
          </w:p>
        </w:tc>
      </w:tr>
      <w:tr>
        <w:tblPrEx>
          <w:tblLayout w:type="fixed"/>
          <w:tblCellMar>
            <w:top w:w="0" w:type="dxa"/>
            <w:left w:w="0" w:type="dxa"/>
            <w:bottom w:w="0" w:type="dxa"/>
            <w:right w:w="0" w:type="dxa"/>
          </w:tblCellMar>
        </w:tblPrEx>
        <w:trPr>
          <w:trHeight w:val="958" w:hRule="atLeast"/>
          <w:tblCellSpacing w:w="0" w:type="dxa"/>
        </w:trPr>
        <w:tc>
          <w:tcPr>
            <w:tcW w:w="52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2</w:t>
            </w:r>
          </w:p>
        </w:tc>
        <w:tc>
          <w:tcPr>
            <w:tcW w:w="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适用</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情形</w:t>
            </w:r>
          </w:p>
        </w:tc>
        <w:tc>
          <w:tcPr>
            <w:tcW w:w="127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color w:val="auto"/>
              </w:rPr>
            </w:pPr>
            <w:r>
              <w:rPr>
                <w:rFonts w:hint="eastAsia" w:ascii="仿宋" w:hAnsi="仿宋" w:eastAsia="仿宋" w:cs="仿宋"/>
                <w:color w:val="auto"/>
                <w:sz w:val="22"/>
                <w:szCs w:val="22"/>
              </w:rPr>
              <w:t>本辖区内的违法生育行为</w:t>
            </w:r>
          </w:p>
        </w:tc>
      </w:tr>
      <w:tr>
        <w:tblPrEx>
          <w:tblLayout w:type="fixed"/>
          <w:tblCellMar>
            <w:top w:w="0" w:type="dxa"/>
            <w:left w:w="0" w:type="dxa"/>
            <w:bottom w:w="0" w:type="dxa"/>
            <w:right w:w="0" w:type="dxa"/>
          </w:tblCellMar>
        </w:tblPrEx>
        <w:trPr>
          <w:trHeight w:val="958" w:hRule="atLeast"/>
          <w:tblCellSpacing w:w="0" w:type="dxa"/>
        </w:trPr>
        <w:tc>
          <w:tcPr>
            <w:tcW w:w="52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3</w:t>
            </w:r>
          </w:p>
        </w:tc>
        <w:tc>
          <w:tcPr>
            <w:tcW w:w="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申请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材料</w:t>
            </w:r>
          </w:p>
        </w:tc>
        <w:tc>
          <w:tcPr>
            <w:tcW w:w="1275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color w:val="auto"/>
              </w:rPr>
            </w:pPr>
            <w:r>
              <w:rPr>
                <w:rFonts w:hint="eastAsia" w:ascii="仿宋" w:hAnsi="仿宋" w:eastAsia="仿宋" w:cs="仿宋"/>
                <w:color w:val="auto"/>
                <w:sz w:val="21"/>
                <w:szCs w:val="21"/>
              </w:rPr>
              <w:t>无</w:t>
            </w:r>
          </w:p>
        </w:tc>
      </w:tr>
      <w:tr>
        <w:tblPrEx>
          <w:tblLayout w:type="fixed"/>
          <w:tblCellMar>
            <w:top w:w="0" w:type="dxa"/>
            <w:left w:w="0" w:type="dxa"/>
            <w:bottom w:w="0" w:type="dxa"/>
            <w:right w:w="0" w:type="dxa"/>
          </w:tblCellMar>
        </w:tblPrEx>
        <w:trPr>
          <w:trHeight w:val="958" w:hRule="atLeast"/>
          <w:tblCellSpacing w:w="0" w:type="dxa"/>
        </w:trPr>
        <w:tc>
          <w:tcPr>
            <w:tcW w:w="52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4</w:t>
            </w:r>
          </w:p>
        </w:tc>
        <w:tc>
          <w:tcPr>
            <w:tcW w:w="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办理</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流程</w:t>
            </w:r>
          </w:p>
        </w:tc>
        <w:tc>
          <w:tcPr>
            <w:tcW w:w="1275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color w:val="auto"/>
              </w:rPr>
            </w:pPr>
            <w:r>
              <w:rPr>
                <w:rFonts w:hint="eastAsia" w:ascii="仿宋" w:hAnsi="仿宋" w:eastAsia="仿宋" w:cs="仿宋"/>
                <w:color w:val="auto"/>
                <w:sz w:val="22"/>
                <w:szCs w:val="22"/>
              </w:rPr>
              <w:t>本街道辖区内的违法生育行为</w:t>
            </w:r>
          </w:p>
        </w:tc>
      </w:tr>
      <w:tr>
        <w:tblPrEx>
          <w:tblLayout w:type="fixed"/>
          <w:tblCellMar>
            <w:top w:w="0" w:type="dxa"/>
            <w:left w:w="0" w:type="dxa"/>
            <w:bottom w:w="0" w:type="dxa"/>
            <w:right w:w="0" w:type="dxa"/>
          </w:tblCellMar>
        </w:tblPrEx>
        <w:trPr>
          <w:trHeight w:val="958" w:hRule="atLeast"/>
          <w:tblCellSpacing w:w="0" w:type="dxa"/>
        </w:trPr>
        <w:tc>
          <w:tcPr>
            <w:tcW w:w="52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5</w:t>
            </w:r>
          </w:p>
        </w:tc>
        <w:tc>
          <w:tcPr>
            <w:tcW w:w="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办理</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时限</w:t>
            </w:r>
          </w:p>
        </w:tc>
        <w:tc>
          <w:tcPr>
            <w:tcW w:w="1275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color w:val="auto"/>
              </w:rPr>
            </w:pPr>
            <w:r>
              <w:rPr>
                <w:rFonts w:hint="eastAsia" w:ascii="仿宋" w:hAnsi="仿宋" w:eastAsia="仿宋" w:cs="仿宋"/>
                <w:color w:val="auto"/>
              </w:rPr>
              <w:t>10个工作日内</w:t>
            </w:r>
          </w:p>
        </w:tc>
      </w:tr>
    </w:tbl>
    <w:p>
      <w:pPr>
        <w:pStyle w:val="4"/>
        <w:widowControl/>
        <w:shd w:val="clear" w:color="auto" w:fill="FFFFFF"/>
        <w:spacing w:before="150" w:beforeLines="0" w:beforeAutospacing="0" w:after="0" w:afterLines="0" w:afterAutospacing="0" w:line="495" w:lineRule="atLeast"/>
        <w:ind w:left="0" w:leftChars="0" w:right="0" w:rightChars="0" w:firstLine="0" w:firstLineChars="0"/>
        <w:jc w:val="center"/>
        <w:rPr>
          <w:rFonts w:hint="eastAsia" w:ascii="方正小标宋_GBK" w:hAnsi="方正小标宋_GBK" w:eastAsia="方正小标宋_GBK" w:cs="方正小标宋_GBK"/>
          <w:color w:val="auto"/>
          <w:sz w:val="44"/>
          <w:szCs w:val="44"/>
          <w:shd w:val="clear" w:color="auto" w:fill="FFFFFF"/>
        </w:rPr>
      </w:pPr>
      <w:bookmarkStart w:id="3" w:name="_Toc9456"/>
      <w:r>
        <w:rPr>
          <w:rFonts w:hint="eastAsia" w:ascii="方正小标宋_GBK" w:hAnsi="方正小标宋_GBK" w:eastAsia="方正小标宋_GBK" w:cs="方正小标宋_GBK"/>
          <w:color w:val="auto"/>
          <w:sz w:val="44"/>
          <w:szCs w:val="44"/>
          <w:shd w:val="clear" w:color="auto" w:fill="FFFFFF"/>
        </w:rPr>
        <w:t>(第2项)</w:t>
      </w:r>
      <w:bookmarkEnd w:id="3"/>
    </w:p>
    <w:tbl>
      <w:tblPr>
        <w:tblStyle w:val="7"/>
        <w:tblW w:w="14068" w:type="dxa"/>
        <w:tblCellSpacing w:w="0" w:type="dxa"/>
        <w:tblInd w:w="15" w:type="dxa"/>
        <w:shd w:val="clear" w:color="auto" w:fill="FFFFFF"/>
        <w:tblLayout w:type="fixed"/>
        <w:tblCellMar>
          <w:top w:w="0" w:type="dxa"/>
          <w:left w:w="0" w:type="dxa"/>
          <w:bottom w:w="0" w:type="dxa"/>
          <w:right w:w="0" w:type="dxa"/>
        </w:tblCellMar>
      </w:tblPr>
      <w:tblGrid>
        <w:gridCol w:w="482"/>
        <w:gridCol w:w="971"/>
        <w:gridCol w:w="12615"/>
      </w:tblGrid>
      <w:tr>
        <w:tblPrEx>
          <w:shd w:val="clear" w:color="auto" w:fill="FFFFFF"/>
          <w:tblLayout w:type="fixed"/>
          <w:tblCellMar>
            <w:top w:w="0" w:type="dxa"/>
            <w:left w:w="0" w:type="dxa"/>
            <w:bottom w:w="0" w:type="dxa"/>
            <w:right w:w="0" w:type="dxa"/>
          </w:tblCellMar>
        </w:tblPrEx>
        <w:trPr>
          <w:tblCellSpacing w:w="0" w:type="dxa"/>
        </w:trPr>
        <w:tc>
          <w:tcPr>
            <w:tcW w:w="482"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序号</w:t>
            </w:r>
          </w:p>
        </w:tc>
        <w:tc>
          <w:tcPr>
            <w:tcW w:w="971"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其他行政行为事项</w:t>
            </w:r>
          </w:p>
        </w:tc>
        <w:tc>
          <w:tcPr>
            <w:tcW w:w="1261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黑体" w:hAnsi="宋体" w:eastAsia="黑体" w:cs="黑体"/>
                <w:color w:val="auto"/>
              </w:rPr>
              <w:t>第二项 独生子女家庭奖优免补材料初审</w:t>
            </w:r>
          </w:p>
        </w:tc>
      </w:tr>
      <w:tr>
        <w:tblPrEx>
          <w:tblLayout w:type="fixed"/>
          <w:tblCellMar>
            <w:top w:w="0" w:type="dxa"/>
            <w:left w:w="0" w:type="dxa"/>
            <w:bottom w:w="0" w:type="dxa"/>
            <w:right w:w="0" w:type="dxa"/>
          </w:tblCellMar>
        </w:tblPrEx>
        <w:trPr>
          <w:tblCellSpacing w:w="0" w:type="dxa"/>
        </w:trPr>
        <w:tc>
          <w:tcPr>
            <w:tcW w:w="48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1</w:t>
            </w:r>
          </w:p>
        </w:tc>
        <w:tc>
          <w:tcPr>
            <w:tcW w:w="97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法律</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依据</w:t>
            </w:r>
          </w:p>
        </w:tc>
        <w:tc>
          <w:tcPr>
            <w:tcW w:w="1261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b/>
                <w:bCs/>
                <w:color w:val="auto"/>
                <w:sz w:val="22"/>
                <w:szCs w:val="22"/>
              </w:rPr>
              <w:t>《宁夏回族自治区人口与计划生育条例（2016年修正本）》第四十一条 、第四十二条 、第四十三条、第四十四条 </w:t>
            </w:r>
          </w:p>
        </w:tc>
      </w:tr>
      <w:tr>
        <w:tblPrEx>
          <w:tblLayout w:type="fixed"/>
          <w:tblCellMar>
            <w:top w:w="0" w:type="dxa"/>
            <w:left w:w="0" w:type="dxa"/>
            <w:bottom w:w="0" w:type="dxa"/>
            <w:right w:w="0" w:type="dxa"/>
          </w:tblCellMar>
        </w:tblPrEx>
        <w:trPr>
          <w:tblCellSpacing w:w="0" w:type="dxa"/>
        </w:trPr>
        <w:tc>
          <w:tcPr>
            <w:tcW w:w="48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2</w:t>
            </w:r>
          </w:p>
        </w:tc>
        <w:tc>
          <w:tcPr>
            <w:tcW w:w="97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申请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条件</w:t>
            </w:r>
          </w:p>
        </w:tc>
        <w:tc>
          <w:tcPr>
            <w:tcW w:w="126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color w:val="auto"/>
              </w:rPr>
            </w:pPr>
            <w:r>
              <w:rPr>
                <w:rFonts w:hint="eastAsia" w:ascii="仿宋" w:hAnsi="仿宋" w:eastAsia="仿宋" w:cs="仿宋"/>
                <w:color w:val="auto"/>
                <w:sz w:val="22"/>
                <w:szCs w:val="22"/>
              </w:rPr>
              <w:t>凡具有本镇常住户口的农业人口家庭办理《独生子女父母光荣证》的夫妻及子女属符合享受“奖优免补”对象</w:t>
            </w:r>
          </w:p>
        </w:tc>
      </w:tr>
      <w:tr>
        <w:tblPrEx>
          <w:tblLayout w:type="fixed"/>
          <w:tblCellMar>
            <w:top w:w="0" w:type="dxa"/>
            <w:left w:w="0" w:type="dxa"/>
            <w:bottom w:w="0" w:type="dxa"/>
            <w:right w:w="0" w:type="dxa"/>
          </w:tblCellMar>
        </w:tblPrEx>
        <w:trPr>
          <w:tblCellSpacing w:w="0" w:type="dxa"/>
        </w:trPr>
        <w:tc>
          <w:tcPr>
            <w:tcW w:w="48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3</w:t>
            </w:r>
          </w:p>
        </w:tc>
        <w:tc>
          <w:tcPr>
            <w:tcW w:w="97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申请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材料</w:t>
            </w:r>
          </w:p>
        </w:tc>
        <w:tc>
          <w:tcPr>
            <w:tcW w:w="1261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1.夫妻双方或者独生子女提出符合享受奖励项目书面申请书，（原件1份）</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2.符合适宜奖励项目审批表（原件3份）；</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3.夫妻双方及子女户口证明（原件1件）；</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4.与户口所在地的乡（镇）人民政府签订的终生只生育一个孩子合同书（原件1份）；</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5.由县（县、区）计划生育技术服务站出具的落实长效避孕措施证明（原件1份）；</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6.《独生子女父母光荣证》（复印件1份，验原件）；</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7.子女就读学校证明；</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eastAsia="仿宋"/>
                <w:color w:val="auto"/>
              </w:rPr>
            </w:pPr>
            <w:r>
              <w:rPr>
                <w:rFonts w:hint="eastAsia" w:ascii="仿宋" w:hAnsi="仿宋" w:eastAsia="仿宋" w:cs="仿宋"/>
                <w:color w:val="auto"/>
                <w:sz w:val="22"/>
                <w:szCs w:val="22"/>
              </w:rPr>
              <w:t>8.子女存活情况证明及有关法院判决书。</w:t>
            </w:r>
          </w:p>
        </w:tc>
      </w:tr>
      <w:tr>
        <w:tblPrEx>
          <w:tblLayout w:type="fixed"/>
          <w:tblCellMar>
            <w:top w:w="0" w:type="dxa"/>
            <w:left w:w="0" w:type="dxa"/>
            <w:bottom w:w="0" w:type="dxa"/>
            <w:right w:w="0" w:type="dxa"/>
          </w:tblCellMar>
        </w:tblPrEx>
        <w:trPr>
          <w:trHeight w:val="780" w:hRule="atLeast"/>
          <w:tblCellSpacing w:w="0" w:type="dxa"/>
        </w:trPr>
        <w:tc>
          <w:tcPr>
            <w:tcW w:w="48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4</w:t>
            </w:r>
          </w:p>
        </w:tc>
        <w:tc>
          <w:tcPr>
            <w:tcW w:w="97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办理</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流程</w:t>
            </w:r>
          </w:p>
        </w:tc>
        <w:tc>
          <w:tcPr>
            <w:tcW w:w="1261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color w:val="auto"/>
              </w:rPr>
            </w:pPr>
            <w:r>
              <w:rPr>
                <w:rFonts w:hint="eastAsia" w:ascii="仿宋" w:hAnsi="仿宋" w:eastAsia="仿宋" w:cs="仿宋"/>
                <w:color w:val="auto"/>
                <w:sz w:val="22"/>
                <w:szCs w:val="22"/>
              </w:rPr>
              <w:t>申请到户籍所在村委会领取申请表填写，由村委会审查盖章，送至所在地的镇计生办审核盖章，报上级卫生计生行政部门审批，发放补助费。</w:t>
            </w:r>
          </w:p>
        </w:tc>
      </w:tr>
      <w:tr>
        <w:tblPrEx>
          <w:tblLayout w:type="fixed"/>
          <w:tblCellMar>
            <w:top w:w="0" w:type="dxa"/>
            <w:left w:w="0" w:type="dxa"/>
            <w:bottom w:w="0" w:type="dxa"/>
            <w:right w:w="0" w:type="dxa"/>
          </w:tblCellMar>
        </w:tblPrEx>
        <w:trPr>
          <w:tblCellSpacing w:w="0" w:type="dxa"/>
        </w:trPr>
        <w:tc>
          <w:tcPr>
            <w:tcW w:w="48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5</w:t>
            </w:r>
          </w:p>
        </w:tc>
        <w:tc>
          <w:tcPr>
            <w:tcW w:w="97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办理</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时限</w:t>
            </w:r>
          </w:p>
        </w:tc>
        <w:tc>
          <w:tcPr>
            <w:tcW w:w="1261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30个工作日内</w:t>
            </w:r>
          </w:p>
        </w:tc>
      </w:tr>
    </w:tbl>
    <w:p>
      <w:pPr>
        <w:pStyle w:val="4"/>
        <w:widowControl/>
        <w:shd w:val="clear" w:color="auto" w:fill="FFFFFF"/>
        <w:spacing w:before="150" w:beforeLines="0" w:beforeAutospacing="0" w:after="0" w:afterLines="0" w:afterAutospacing="0" w:line="495" w:lineRule="atLeast"/>
        <w:ind w:left="0" w:leftChars="0" w:firstLine="0" w:firstLineChars="0"/>
        <w:jc w:val="both"/>
        <w:rPr>
          <w:rFonts w:hint="eastAsia" w:ascii="方正小标宋_GBK" w:hAnsi="方正小标宋_GBK" w:eastAsia="方正小标宋_GBK" w:cs="方正小标宋_GBK"/>
          <w:color w:val="auto"/>
          <w:sz w:val="44"/>
          <w:szCs w:val="44"/>
          <w:shd w:val="clear" w:color="auto" w:fill="FFFFFF"/>
        </w:rPr>
      </w:pPr>
    </w:p>
    <w:p>
      <w:pPr>
        <w:pStyle w:val="4"/>
        <w:widowControl/>
        <w:shd w:val="clear" w:color="auto" w:fill="FFFFFF"/>
        <w:spacing w:before="150" w:beforeLines="0" w:beforeAutospacing="0" w:after="0" w:afterLines="0" w:afterAutospacing="0" w:line="495" w:lineRule="atLeast"/>
        <w:jc w:val="center"/>
        <w:rPr>
          <w:rFonts w:hint="eastAsia" w:ascii="微软雅黑" w:hAnsi="微软雅黑" w:eastAsia="微软雅黑" w:cs="微软雅黑"/>
          <w:color w:val="auto"/>
          <w:sz w:val="44"/>
          <w:szCs w:val="44"/>
        </w:rPr>
      </w:pPr>
      <w:r>
        <w:rPr>
          <w:rFonts w:hint="eastAsia" w:ascii="方正小标宋_GBK" w:hAnsi="方正小标宋_GBK" w:eastAsia="方正小标宋_GBK" w:cs="方正小标宋_GBK"/>
          <w:color w:val="auto"/>
          <w:sz w:val="44"/>
          <w:szCs w:val="44"/>
          <w:shd w:val="clear" w:color="auto" w:fill="FFFFFF"/>
        </w:rPr>
        <w:t>(第</w:t>
      </w:r>
      <w:r>
        <w:rPr>
          <w:rFonts w:hint="eastAsia" w:ascii="方正小标宋_GBK" w:hAnsi="方正小标宋_GBK" w:eastAsia="方正小标宋_GBK" w:cs="方正小标宋_GBK"/>
          <w:color w:val="auto"/>
          <w:sz w:val="44"/>
          <w:szCs w:val="44"/>
          <w:shd w:val="clear" w:color="auto" w:fill="FFFFFF"/>
          <w:lang w:val="en-US" w:eastAsia="zh-CN"/>
        </w:rPr>
        <w:t>3</w:t>
      </w:r>
      <w:r>
        <w:rPr>
          <w:rFonts w:hint="eastAsia" w:ascii="方正小标宋_GBK" w:hAnsi="方正小标宋_GBK" w:eastAsia="方正小标宋_GBK" w:cs="方正小标宋_GBK"/>
          <w:color w:val="auto"/>
          <w:sz w:val="44"/>
          <w:szCs w:val="44"/>
          <w:shd w:val="clear" w:color="auto" w:fill="FFFFFF"/>
        </w:rPr>
        <w:t>项)</w:t>
      </w:r>
    </w:p>
    <w:tbl>
      <w:tblPr>
        <w:tblStyle w:val="7"/>
        <w:tblW w:w="14098" w:type="dxa"/>
        <w:tblCellSpacing w:w="0" w:type="dxa"/>
        <w:tblInd w:w="15" w:type="dxa"/>
        <w:shd w:val="clear" w:color="auto" w:fill="FFFFFF"/>
        <w:tblLayout w:type="fixed"/>
        <w:tblCellMar>
          <w:top w:w="0" w:type="dxa"/>
          <w:left w:w="0" w:type="dxa"/>
          <w:bottom w:w="0" w:type="dxa"/>
          <w:right w:w="0" w:type="dxa"/>
        </w:tblCellMar>
      </w:tblPr>
      <w:tblGrid>
        <w:gridCol w:w="482"/>
        <w:gridCol w:w="1051"/>
        <w:gridCol w:w="12565"/>
      </w:tblGrid>
      <w:tr>
        <w:tblPrEx>
          <w:shd w:val="clear" w:color="auto" w:fill="FFFFFF"/>
          <w:tblLayout w:type="fixed"/>
          <w:tblCellMar>
            <w:top w:w="0" w:type="dxa"/>
            <w:left w:w="0" w:type="dxa"/>
            <w:bottom w:w="0" w:type="dxa"/>
            <w:right w:w="0" w:type="dxa"/>
          </w:tblCellMar>
        </w:tblPrEx>
        <w:trPr>
          <w:trHeight w:val="862" w:hRule="atLeast"/>
          <w:tblCellSpacing w:w="0" w:type="dxa"/>
        </w:trPr>
        <w:tc>
          <w:tcPr>
            <w:tcW w:w="482"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300" w:lineRule="atLeast"/>
              <w:ind w:left="0" w:leftChars="0" w:firstLine="0" w:firstLineChars="0"/>
              <w:jc w:val="both"/>
              <w:rPr>
                <w:color w:val="auto"/>
              </w:rPr>
            </w:pPr>
            <w:r>
              <w:rPr>
                <w:rFonts w:hint="eastAsia" w:ascii="仿宋" w:hAnsi="仿宋" w:eastAsia="仿宋" w:cs="仿宋"/>
                <w:color w:val="auto"/>
              </w:rPr>
              <w:t>序号</w:t>
            </w:r>
          </w:p>
        </w:tc>
        <w:tc>
          <w:tcPr>
            <w:tcW w:w="1051"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300" w:lineRule="atLeast"/>
              <w:ind w:left="0" w:leftChars="0" w:firstLine="0" w:firstLineChars="0"/>
              <w:jc w:val="both"/>
              <w:rPr>
                <w:color w:val="auto"/>
              </w:rPr>
            </w:pPr>
            <w:r>
              <w:rPr>
                <w:rFonts w:hint="eastAsia" w:ascii="仿宋" w:hAnsi="仿宋" w:eastAsia="仿宋" w:cs="仿宋"/>
                <w:color w:val="auto"/>
                <w:sz w:val="20"/>
                <w:szCs w:val="15"/>
              </w:rPr>
              <w:t>其他行政行为事项</w:t>
            </w:r>
          </w:p>
        </w:tc>
        <w:tc>
          <w:tcPr>
            <w:tcW w:w="1256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300" w:lineRule="atLeast"/>
              <w:jc w:val="center"/>
              <w:rPr>
                <w:color w:val="auto"/>
              </w:rPr>
            </w:pPr>
            <w:r>
              <w:rPr>
                <w:rFonts w:hint="eastAsia" w:ascii="黑体" w:hAnsi="宋体" w:eastAsia="黑体" w:cs="黑体"/>
                <w:color w:val="auto"/>
              </w:rPr>
              <w:t>批准五保对象入敬老院</w:t>
            </w:r>
          </w:p>
        </w:tc>
      </w:tr>
      <w:tr>
        <w:tblPrEx>
          <w:tblLayout w:type="fixed"/>
          <w:tblCellMar>
            <w:top w:w="0" w:type="dxa"/>
            <w:left w:w="0" w:type="dxa"/>
            <w:bottom w:w="0" w:type="dxa"/>
            <w:right w:w="0" w:type="dxa"/>
          </w:tblCellMar>
        </w:tblPrEx>
        <w:trPr>
          <w:trHeight w:val="1665" w:hRule="atLeast"/>
          <w:tblCellSpacing w:w="0" w:type="dxa"/>
        </w:trPr>
        <w:tc>
          <w:tcPr>
            <w:tcW w:w="48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1</w:t>
            </w:r>
          </w:p>
        </w:tc>
        <w:tc>
          <w:tcPr>
            <w:tcW w:w="105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0"/>
                <w:szCs w:val="15"/>
              </w:rPr>
              <w:t>法律依据</w:t>
            </w:r>
          </w:p>
        </w:tc>
        <w:tc>
          <w:tcPr>
            <w:tcW w:w="1256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textAlignment w:val="auto"/>
              <w:outlineLvl w:val="9"/>
              <w:rPr>
                <w:rFonts w:hint="eastAsia" w:ascii="仿宋" w:hAnsi="仿宋" w:eastAsia="仿宋" w:cs="仿宋"/>
                <w:b/>
                <w:bCs/>
                <w:color w:val="auto"/>
                <w:sz w:val="22"/>
                <w:szCs w:val="22"/>
              </w:rPr>
            </w:pPr>
            <w:r>
              <w:rPr>
                <w:rFonts w:hint="eastAsia" w:ascii="仿宋" w:hAnsi="仿宋" w:eastAsia="仿宋" w:cs="仿宋"/>
                <w:b/>
                <w:bCs/>
                <w:color w:val="auto"/>
                <w:sz w:val="22"/>
                <w:szCs w:val="22"/>
              </w:rPr>
              <w:t>1.</w:t>
            </w:r>
            <w:r>
              <w:rPr>
                <w:rFonts w:hint="eastAsia" w:ascii="仿宋_GB2312" w:hAnsi="仿宋_GB2312" w:eastAsia="仿宋_GB2312" w:cs="仿宋_GB2312"/>
                <w:b/>
                <w:color w:val="auto"/>
                <w:sz w:val="18"/>
                <w:szCs w:val="18"/>
              </w:rPr>
              <w:t>【</w:t>
            </w:r>
            <w:r>
              <w:rPr>
                <w:rFonts w:hint="eastAsia" w:ascii="仿宋" w:hAnsi="仿宋" w:eastAsia="仿宋" w:cs="仿宋"/>
                <w:b/>
                <w:bCs/>
                <w:color w:val="auto"/>
                <w:sz w:val="22"/>
                <w:szCs w:val="22"/>
              </w:rPr>
              <w:t>国务院</w:t>
            </w:r>
            <w:r>
              <w:rPr>
                <w:rFonts w:hint="eastAsia" w:ascii="仿宋_GB2312" w:hAnsi="仿宋_GB2312" w:eastAsia="仿宋_GB2312" w:cs="仿宋_GB2312"/>
                <w:b/>
                <w:color w:val="auto"/>
                <w:sz w:val="18"/>
                <w:szCs w:val="18"/>
              </w:rPr>
              <w:t>】</w:t>
            </w:r>
            <w:r>
              <w:rPr>
                <w:rFonts w:hint="eastAsia" w:ascii="仿宋" w:hAnsi="仿宋" w:eastAsia="仿宋" w:cs="仿宋"/>
                <w:b/>
                <w:bCs/>
                <w:color w:val="auto"/>
                <w:sz w:val="22"/>
                <w:szCs w:val="22"/>
              </w:rPr>
              <w:t>《农村五保供养工作条例（2006年修订本）》</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b/>
                <w:bCs/>
                <w:color w:val="auto"/>
                <w:sz w:val="22"/>
                <w:szCs w:val="22"/>
              </w:rPr>
              <w:t>第二条</w:t>
            </w:r>
            <w:r>
              <w:rPr>
                <w:rFonts w:hint="eastAsia" w:ascii="仿宋" w:hAnsi="仿宋" w:eastAsia="仿宋" w:cs="仿宋"/>
                <w:color w:val="auto"/>
                <w:sz w:val="22"/>
                <w:szCs w:val="22"/>
              </w:rPr>
              <w:t> 本条例所称农村五保供养，是指依照本条例规定，在吃、穿、住、医、葬方面给予村民的生活照顾和物质帮助。</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b/>
                <w:bCs/>
                <w:color w:val="auto"/>
                <w:sz w:val="22"/>
                <w:szCs w:val="22"/>
              </w:rPr>
              <w:t>第十二条</w:t>
            </w:r>
            <w:r>
              <w:rPr>
                <w:rFonts w:hint="eastAsia" w:ascii="仿宋" w:hAnsi="仿宋" w:eastAsia="仿宋" w:cs="仿宋"/>
                <w:color w:val="auto"/>
                <w:sz w:val="22"/>
                <w:szCs w:val="22"/>
              </w:rPr>
              <w:t> 农村五保供养对象可以在当地的农村五保供养服务机构集中供养，也可以在家分散供养。农村五保供养对象可以自行选择供养形式。</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textAlignment w:val="auto"/>
              <w:outlineLvl w:val="9"/>
              <w:rPr>
                <w:rFonts w:hint="eastAsia" w:ascii="仿宋" w:hAnsi="仿宋" w:eastAsia="仿宋" w:cs="仿宋"/>
                <w:b/>
                <w:bCs/>
                <w:color w:val="auto"/>
                <w:sz w:val="22"/>
                <w:szCs w:val="22"/>
              </w:rPr>
            </w:pPr>
            <w:r>
              <w:rPr>
                <w:rFonts w:hint="eastAsia" w:ascii="仿宋" w:hAnsi="仿宋" w:eastAsia="仿宋" w:cs="仿宋"/>
                <w:b/>
                <w:bCs/>
                <w:color w:val="auto"/>
                <w:sz w:val="22"/>
                <w:szCs w:val="22"/>
              </w:rPr>
              <w:t>2.</w:t>
            </w:r>
            <w:r>
              <w:rPr>
                <w:rFonts w:hint="eastAsia" w:ascii="仿宋_GB2312" w:hAnsi="仿宋_GB2312" w:eastAsia="仿宋_GB2312" w:cs="仿宋_GB2312"/>
                <w:b/>
                <w:color w:val="auto"/>
                <w:sz w:val="18"/>
                <w:szCs w:val="18"/>
              </w:rPr>
              <w:t>【</w:t>
            </w:r>
            <w:r>
              <w:rPr>
                <w:rFonts w:hint="eastAsia" w:ascii="仿宋" w:hAnsi="仿宋" w:eastAsia="仿宋" w:cs="仿宋"/>
                <w:b/>
                <w:bCs/>
                <w:color w:val="auto"/>
                <w:sz w:val="22"/>
                <w:szCs w:val="22"/>
              </w:rPr>
              <w:t>民政部</w:t>
            </w:r>
            <w:r>
              <w:rPr>
                <w:rFonts w:hint="eastAsia" w:ascii="仿宋_GB2312" w:hAnsi="仿宋_GB2312" w:eastAsia="仿宋_GB2312" w:cs="仿宋_GB2312"/>
                <w:b/>
                <w:color w:val="auto"/>
                <w:sz w:val="18"/>
                <w:szCs w:val="18"/>
              </w:rPr>
              <w:t>】</w:t>
            </w:r>
            <w:r>
              <w:rPr>
                <w:rFonts w:hint="eastAsia" w:ascii="仿宋" w:hAnsi="仿宋" w:eastAsia="仿宋" w:cs="仿宋"/>
                <w:b/>
                <w:bCs/>
                <w:color w:val="auto"/>
                <w:sz w:val="22"/>
                <w:szCs w:val="22"/>
              </w:rPr>
              <w:t>《农村敬老院管理暂行办法》</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textAlignment w:val="auto"/>
              <w:outlineLvl w:val="9"/>
              <w:rPr>
                <w:color w:val="auto"/>
              </w:rPr>
            </w:pPr>
            <w:r>
              <w:rPr>
                <w:rFonts w:hint="eastAsia" w:ascii="仿宋" w:hAnsi="仿宋" w:eastAsia="仿宋" w:cs="仿宋"/>
                <w:b/>
                <w:bCs/>
                <w:color w:val="auto"/>
                <w:sz w:val="22"/>
                <w:szCs w:val="22"/>
              </w:rPr>
              <w:t>第八条</w:t>
            </w:r>
            <w:r>
              <w:rPr>
                <w:rFonts w:hint="eastAsia" w:ascii="仿宋" w:hAnsi="仿宋" w:eastAsia="仿宋" w:cs="仿宋"/>
                <w:color w:val="auto"/>
                <w:sz w:val="22"/>
                <w:szCs w:val="22"/>
              </w:rPr>
              <w:t xml:space="preserve"> 五保对象入敬老院须由本人提出申请，经乡镇人民政府（村办敬老院经村民委员会）批准，并由本人和敬老院双方签定入院协议。符合规定条件的对象，入院自愿，出院自由。</w:t>
            </w:r>
          </w:p>
        </w:tc>
      </w:tr>
      <w:tr>
        <w:tblPrEx>
          <w:tblLayout w:type="fixed"/>
          <w:tblCellMar>
            <w:top w:w="0" w:type="dxa"/>
            <w:left w:w="0" w:type="dxa"/>
            <w:bottom w:w="0" w:type="dxa"/>
            <w:right w:w="0" w:type="dxa"/>
          </w:tblCellMar>
        </w:tblPrEx>
        <w:trPr>
          <w:trHeight w:val="638" w:hRule="atLeast"/>
          <w:tblCellSpacing w:w="0" w:type="dxa"/>
        </w:trPr>
        <w:tc>
          <w:tcPr>
            <w:tcW w:w="48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2</w:t>
            </w:r>
          </w:p>
        </w:tc>
        <w:tc>
          <w:tcPr>
            <w:tcW w:w="105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仿宋" w:hAnsi="仿宋" w:eastAsia="仿宋" w:cs="仿宋"/>
                <w:color w:val="auto"/>
                <w:sz w:val="20"/>
                <w:szCs w:val="15"/>
              </w:rPr>
            </w:pPr>
            <w:r>
              <w:rPr>
                <w:rFonts w:hint="eastAsia" w:ascii="仿宋" w:hAnsi="仿宋" w:eastAsia="仿宋" w:cs="仿宋"/>
                <w:color w:val="auto"/>
                <w:sz w:val="20"/>
                <w:szCs w:val="15"/>
              </w:rPr>
              <w:t>申请条件</w:t>
            </w:r>
          </w:p>
        </w:tc>
        <w:tc>
          <w:tcPr>
            <w:tcW w:w="125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textAlignment w:val="auto"/>
              <w:outlineLvl w:val="9"/>
              <w:rPr>
                <w:color w:val="auto"/>
              </w:rPr>
            </w:pPr>
            <w:r>
              <w:rPr>
                <w:rFonts w:hint="eastAsia" w:ascii="仿宋" w:hAnsi="仿宋" w:eastAsia="仿宋" w:cs="仿宋"/>
                <w:color w:val="auto"/>
                <w:sz w:val="22"/>
                <w:szCs w:val="22"/>
              </w:rPr>
              <w:t>所申请对象属板桥街道户口，无劳动能力、无生活来源、无法定赡养扶养义务人或者其法定义务人无履行义务能力的</w:t>
            </w:r>
            <w:r>
              <w:rPr>
                <w:rFonts w:ascii="仿宋" w:hAnsi="仿宋" w:eastAsia="仿宋" w:cs="仿宋"/>
                <w:color w:val="auto"/>
                <w:sz w:val="22"/>
                <w:szCs w:val="22"/>
              </w:rPr>
              <w:t>60</w:t>
            </w:r>
            <w:r>
              <w:rPr>
                <w:rFonts w:hint="eastAsia" w:ascii="仿宋" w:hAnsi="仿宋" w:eastAsia="仿宋" w:cs="仿宋"/>
                <w:color w:val="auto"/>
                <w:sz w:val="22"/>
                <w:szCs w:val="22"/>
              </w:rPr>
              <w:t>岁以上老年人</w:t>
            </w:r>
          </w:p>
        </w:tc>
      </w:tr>
      <w:tr>
        <w:tblPrEx>
          <w:tblLayout w:type="fixed"/>
          <w:tblCellMar>
            <w:top w:w="0" w:type="dxa"/>
            <w:left w:w="0" w:type="dxa"/>
            <w:bottom w:w="0" w:type="dxa"/>
            <w:right w:w="0" w:type="dxa"/>
          </w:tblCellMar>
        </w:tblPrEx>
        <w:trPr>
          <w:trHeight w:val="90" w:hRule="atLeast"/>
          <w:tblCellSpacing w:w="0" w:type="dxa"/>
        </w:trPr>
        <w:tc>
          <w:tcPr>
            <w:tcW w:w="48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3</w:t>
            </w:r>
          </w:p>
        </w:tc>
        <w:tc>
          <w:tcPr>
            <w:tcW w:w="105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仿宋" w:hAnsi="仿宋" w:eastAsia="仿宋" w:cs="仿宋"/>
                <w:color w:val="auto"/>
                <w:sz w:val="20"/>
                <w:szCs w:val="15"/>
              </w:rPr>
            </w:pPr>
            <w:r>
              <w:rPr>
                <w:rFonts w:hint="eastAsia" w:ascii="仿宋" w:hAnsi="仿宋" w:eastAsia="仿宋" w:cs="仿宋"/>
                <w:color w:val="auto"/>
                <w:sz w:val="20"/>
                <w:szCs w:val="15"/>
              </w:rPr>
              <w:t>申请材料</w:t>
            </w:r>
          </w:p>
        </w:tc>
        <w:tc>
          <w:tcPr>
            <w:tcW w:w="1256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textAlignment w:val="auto"/>
              <w:outlineLvl w:val="9"/>
              <w:rPr>
                <w:rFonts w:hint="eastAsia" w:eastAsia="仿宋"/>
                <w:color w:val="auto"/>
              </w:rPr>
            </w:pPr>
            <w:r>
              <w:rPr>
                <w:rFonts w:hint="eastAsia" w:ascii="仿宋" w:hAnsi="仿宋" w:eastAsia="仿宋" w:cs="仿宋"/>
                <w:color w:val="auto"/>
                <w:sz w:val="22"/>
                <w:szCs w:val="22"/>
              </w:rPr>
              <w:t>1.书面申请书；2.居民小组、居委会根据申请人情况出具的书面情况说明书；3.本人身份证原件、复印件；4.本人的户口簿原件、复印件；5.本人五保证。</w:t>
            </w:r>
          </w:p>
        </w:tc>
      </w:tr>
      <w:tr>
        <w:tblPrEx>
          <w:tblLayout w:type="fixed"/>
          <w:tblCellMar>
            <w:top w:w="0" w:type="dxa"/>
            <w:left w:w="0" w:type="dxa"/>
            <w:bottom w:w="0" w:type="dxa"/>
            <w:right w:w="0" w:type="dxa"/>
          </w:tblCellMar>
        </w:tblPrEx>
        <w:trPr>
          <w:trHeight w:val="3058" w:hRule="atLeast"/>
          <w:tblCellSpacing w:w="0" w:type="dxa"/>
        </w:trPr>
        <w:tc>
          <w:tcPr>
            <w:tcW w:w="48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4</w:t>
            </w:r>
          </w:p>
        </w:tc>
        <w:tc>
          <w:tcPr>
            <w:tcW w:w="105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办理流程</w:t>
            </w:r>
          </w:p>
        </w:tc>
        <w:tc>
          <w:tcPr>
            <w:tcW w:w="1256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1.申请程序。由本人向乡镇民政办提出书面申请,本人申请有困难的,可以委托居民委员会或者他人代为提出申请。街道以及村民委员会及时了解掌握辖区内居民的生活情况,发现符合入敬老院条件的五保人员,应告知其相关政策,对无民事行为能力等无法自主申请的,应当主动帮助其申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2.审核程序。街道应当通过入户调查、邻里访问、信函索证、群众评议、信息核查等方式,对申请人的家庭情况、社会关系、收入状况、财产状况以及其他证明材料等进行调查核实,于20个工作日内提出初审意见,在申请人所在村委会公示后,报县民政局审批。申请人及有关单位、组织或者个人应当配合调查,如实提供有关情况；</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3.审批程序。上级民政局全面审查街道上报的调查材料和审核意见,并随机抽查核实,于20个工作日内作出审批决定。对符合条件的申请予以批准,并在申请人所在居委会、居民小组公示;对不符合条件的申请不予批准,并书面向申请人说明理由；</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textAlignment w:val="auto"/>
              <w:outlineLvl w:val="9"/>
              <w:rPr>
                <w:color w:val="auto"/>
              </w:rPr>
            </w:pPr>
            <w:r>
              <w:rPr>
                <w:rFonts w:hint="eastAsia" w:ascii="仿宋" w:hAnsi="仿宋" w:eastAsia="仿宋" w:cs="仿宋"/>
                <w:color w:val="auto"/>
                <w:sz w:val="22"/>
                <w:szCs w:val="22"/>
              </w:rPr>
              <w:t>4.终止程序。农村五保供养对象不再符合本条例第六条规定条件的，村民委员会或者敬老院等农村五保供养服务机构（以下简称农村五保供养服务机构）应当向乡、民族乡、镇人民政府报告，由乡、民族乡、镇人民政府审核并报县级人民政府民政部门核准后，核销其《农村五保供养证书》。</w:t>
            </w:r>
          </w:p>
        </w:tc>
      </w:tr>
      <w:tr>
        <w:tblPrEx>
          <w:tblLayout w:type="fixed"/>
          <w:tblCellMar>
            <w:top w:w="0" w:type="dxa"/>
            <w:left w:w="0" w:type="dxa"/>
            <w:bottom w:w="0" w:type="dxa"/>
            <w:right w:w="0" w:type="dxa"/>
          </w:tblCellMar>
        </w:tblPrEx>
        <w:trPr>
          <w:trHeight w:val="638" w:hRule="atLeast"/>
          <w:tblCellSpacing w:w="0" w:type="dxa"/>
        </w:trPr>
        <w:tc>
          <w:tcPr>
            <w:tcW w:w="48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5</w:t>
            </w:r>
          </w:p>
        </w:tc>
        <w:tc>
          <w:tcPr>
            <w:tcW w:w="1051"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sz w:val="20"/>
                <w:szCs w:val="15"/>
              </w:rPr>
            </w:pPr>
            <w:r>
              <w:rPr>
                <w:rFonts w:hint="eastAsia" w:ascii="仿宋" w:hAnsi="仿宋" w:eastAsia="仿宋" w:cs="仿宋"/>
                <w:color w:val="auto"/>
                <w:sz w:val="20"/>
                <w:szCs w:val="15"/>
              </w:rPr>
              <w:t>办理时限</w:t>
            </w:r>
          </w:p>
        </w:tc>
        <w:tc>
          <w:tcPr>
            <w:tcW w:w="1256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left"/>
              <w:textAlignment w:val="auto"/>
              <w:outlineLvl w:val="9"/>
              <w:rPr>
                <w:color w:val="auto"/>
                <w:sz w:val="28"/>
                <w:szCs w:val="21"/>
              </w:rPr>
            </w:pPr>
            <w:r>
              <w:rPr>
                <w:rFonts w:hint="eastAsia" w:ascii="仿宋" w:hAnsi="仿宋" w:eastAsia="仿宋" w:cs="仿宋"/>
                <w:color w:val="auto"/>
                <w:sz w:val="24"/>
                <w:szCs w:val="24"/>
              </w:rPr>
              <w:t>40个工作日内</w:t>
            </w:r>
          </w:p>
        </w:tc>
      </w:tr>
    </w:tbl>
    <w:p>
      <w:pPr>
        <w:pStyle w:val="4"/>
        <w:widowControl/>
        <w:shd w:val="clear" w:color="auto" w:fill="FFFFFF"/>
        <w:spacing w:before="150" w:beforeLines="0" w:beforeAutospacing="0" w:after="0" w:afterLines="0" w:afterAutospacing="0" w:line="495" w:lineRule="atLeast"/>
        <w:ind w:left="0" w:leftChars="0" w:firstLine="3520" w:firstLineChars="800"/>
        <w:jc w:val="both"/>
        <w:rPr>
          <w:rFonts w:hint="eastAsia" w:ascii="方正小标宋_GBK" w:hAnsi="方正小标宋_GBK" w:eastAsia="方正小标宋_GBK" w:cs="方正小标宋_GBK"/>
          <w:color w:val="auto"/>
          <w:sz w:val="44"/>
          <w:szCs w:val="44"/>
          <w:shd w:val="clear" w:color="auto" w:fill="FFFFFF"/>
        </w:rPr>
      </w:pPr>
      <w:bookmarkStart w:id="4" w:name="_Toc812"/>
    </w:p>
    <w:p>
      <w:pPr>
        <w:pStyle w:val="4"/>
        <w:widowControl/>
        <w:shd w:val="clear" w:color="auto" w:fill="FFFFFF"/>
        <w:spacing w:before="150" w:beforeLines="0" w:beforeAutospacing="0" w:after="0" w:afterLines="0" w:afterAutospacing="0" w:line="495" w:lineRule="atLeast"/>
        <w:ind w:left="0" w:leftChars="0" w:firstLine="0" w:firstLineChars="0"/>
        <w:jc w:val="center"/>
        <w:rPr>
          <w:rFonts w:hint="eastAsia" w:ascii="微软雅黑" w:hAnsi="微软雅黑" w:eastAsia="微软雅黑" w:cs="微软雅黑"/>
          <w:color w:val="auto"/>
          <w:sz w:val="44"/>
          <w:szCs w:val="44"/>
        </w:rPr>
      </w:pPr>
      <w:r>
        <w:rPr>
          <w:rFonts w:hint="eastAsia" w:ascii="方正小标宋_GBK" w:hAnsi="方正小标宋_GBK" w:eastAsia="方正小标宋_GBK" w:cs="方正小标宋_GBK"/>
          <w:color w:val="auto"/>
          <w:sz w:val="44"/>
          <w:szCs w:val="44"/>
          <w:shd w:val="clear" w:color="auto" w:fill="FFFFFF"/>
        </w:rPr>
        <w:t>(第</w:t>
      </w:r>
      <w:r>
        <w:rPr>
          <w:rFonts w:hint="eastAsia" w:ascii="方正小标宋_GBK" w:hAnsi="方正小标宋_GBK" w:eastAsia="方正小标宋_GBK" w:cs="方正小标宋_GBK"/>
          <w:color w:val="auto"/>
          <w:sz w:val="44"/>
          <w:szCs w:val="44"/>
          <w:shd w:val="clear" w:color="auto" w:fill="FFFFFF"/>
          <w:lang w:val="en-US" w:eastAsia="zh-CN"/>
        </w:rPr>
        <w:t>4</w:t>
      </w:r>
      <w:r>
        <w:rPr>
          <w:rFonts w:hint="eastAsia" w:ascii="方正小标宋_GBK" w:hAnsi="方正小标宋_GBK" w:eastAsia="方正小标宋_GBK" w:cs="方正小标宋_GBK"/>
          <w:color w:val="auto"/>
          <w:sz w:val="44"/>
          <w:szCs w:val="44"/>
          <w:shd w:val="clear" w:color="auto" w:fill="FFFFFF"/>
        </w:rPr>
        <w:t>项)</w:t>
      </w:r>
      <w:bookmarkEnd w:id="4"/>
    </w:p>
    <w:tbl>
      <w:tblPr>
        <w:tblStyle w:val="7"/>
        <w:tblW w:w="14023" w:type="dxa"/>
        <w:tblCellSpacing w:w="0" w:type="dxa"/>
        <w:tblInd w:w="15" w:type="dxa"/>
        <w:shd w:val="clear" w:color="auto" w:fill="FFFFFF"/>
        <w:tblLayout w:type="fixed"/>
        <w:tblCellMar>
          <w:top w:w="0" w:type="dxa"/>
          <w:left w:w="0" w:type="dxa"/>
          <w:bottom w:w="0" w:type="dxa"/>
          <w:right w:w="0" w:type="dxa"/>
        </w:tblCellMar>
      </w:tblPr>
      <w:tblGrid>
        <w:gridCol w:w="452"/>
        <w:gridCol w:w="1005"/>
        <w:gridCol w:w="12566"/>
      </w:tblGrid>
      <w:tr>
        <w:tblPrEx>
          <w:shd w:val="clear" w:color="auto" w:fill="FFFFFF"/>
          <w:tblLayout w:type="fixed"/>
          <w:tblCellMar>
            <w:top w:w="0" w:type="dxa"/>
            <w:left w:w="0" w:type="dxa"/>
            <w:bottom w:w="0" w:type="dxa"/>
            <w:right w:w="0" w:type="dxa"/>
          </w:tblCellMar>
        </w:tblPrEx>
        <w:trPr>
          <w:trHeight w:val="637" w:hRule="atLeast"/>
          <w:tblCellSpacing w:w="0" w:type="dxa"/>
        </w:trPr>
        <w:tc>
          <w:tcPr>
            <w:tcW w:w="452"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300" w:lineRule="atLeast"/>
              <w:ind w:left="0" w:leftChars="0" w:firstLine="0" w:firstLineChars="0"/>
              <w:jc w:val="both"/>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100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val="0"/>
              <w:spacing w:before="150" w:beforeLines="0" w:beforeAutospacing="0" w:after="0" w:afterLines="0" w:afterAutospacing="0" w:line="240" w:lineRule="exact"/>
              <w:ind w:left="0" w:leftChars="0" w:firstLine="0" w:firstLineChars="0"/>
              <w:jc w:val="both"/>
              <w:textAlignment w:val="auto"/>
              <w:outlineLvl w:val="9"/>
              <w:rPr>
                <w:rFonts w:hint="eastAsia" w:ascii="仿宋_GB2312" w:hAnsi="仿宋_GB2312" w:eastAsia="仿宋_GB2312" w:cs="仿宋_GB2312"/>
                <w:b/>
                <w:bCs/>
                <w:color w:val="auto"/>
                <w:sz w:val="16"/>
                <w:szCs w:val="16"/>
              </w:rPr>
            </w:pPr>
            <w:r>
              <w:rPr>
                <w:rFonts w:hint="eastAsia" w:ascii="仿宋_GB2312" w:hAnsi="仿宋_GB2312" w:eastAsia="仿宋_GB2312" w:cs="仿宋_GB2312"/>
                <w:b/>
                <w:bCs/>
                <w:color w:val="auto"/>
                <w:sz w:val="16"/>
                <w:szCs w:val="16"/>
              </w:rPr>
              <w:t>其他行政行为事项</w:t>
            </w:r>
          </w:p>
        </w:tc>
        <w:tc>
          <w:tcPr>
            <w:tcW w:w="1256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val="0"/>
              <w:spacing w:before="150" w:beforeLines="0" w:beforeAutospacing="0" w:after="0" w:afterLines="0" w:afterAutospacing="0" w:line="240" w:lineRule="exact"/>
              <w:ind w:firstLine="652"/>
              <w:jc w:val="center"/>
              <w:textAlignment w:val="auto"/>
              <w:outlineLvl w:val="9"/>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城乡居民最低生活保障金待遇的审核（初审）</w:t>
            </w:r>
          </w:p>
        </w:tc>
      </w:tr>
      <w:tr>
        <w:tblPrEx>
          <w:tblLayout w:type="fixed"/>
          <w:tblCellMar>
            <w:top w:w="0" w:type="dxa"/>
            <w:left w:w="0" w:type="dxa"/>
            <w:bottom w:w="0" w:type="dxa"/>
            <w:right w:w="0" w:type="dxa"/>
          </w:tblCellMar>
        </w:tblPrEx>
        <w:trPr>
          <w:trHeight w:val="1711" w:hRule="atLeast"/>
          <w:tblCellSpacing w:w="0" w:type="dxa"/>
        </w:trPr>
        <w:tc>
          <w:tcPr>
            <w:tcW w:w="45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300" w:lineRule="atLeast"/>
              <w:ind w:left="0" w:leftChars="0" w:firstLine="0" w:firstLineChars="0"/>
              <w:jc w:val="both"/>
              <w:rPr>
                <w:color w:val="auto"/>
              </w:rPr>
            </w:pPr>
            <w:r>
              <w:rPr>
                <w:rFonts w:hint="eastAsia" w:ascii="仿宋_GB2312" w:hAnsi="微软雅黑" w:eastAsia="仿宋_GB2312" w:cs="仿宋_GB2312"/>
                <w:color w:val="auto"/>
                <w:sz w:val="21"/>
                <w:szCs w:val="21"/>
              </w:rPr>
              <w:t>1</w:t>
            </w:r>
          </w:p>
        </w:tc>
        <w:tc>
          <w:tcPr>
            <w:tcW w:w="10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_GB2312" w:hAnsi="微软雅黑" w:eastAsia="仿宋_GB2312" w:cs="仿宋_GB2312"/>
                <w:color w:val="auto"/>
                <w:sz w:val="21"/>
                <w:szCs w:val="21"/>
              </w:rPr>
              <w:t>法律</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_GB2312" w:hAnsi="微软雅黑" w:eastAsia="仿宋_GB2312" w:cs="仿宋_GB2312"/>
                <w:color w:val="auto"/>
                <w:sz w:val="21"/>
                <w:szCs w:val="21"/>
              </w:rPr>
              <w:t>依据</w:t>
            </w:r>
          </w:p>
        </w:tc>
        <w:tc>
          <w:tcPr>
            <w:tcW w:w="12566"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b/>
                <w:bCs/>
                <w:color w:val="auto"/>
                <w:sz w:val="22"/>
                <w:szCs w:val="22"/>
              </w:rPr>
            </w:pPr>
            <w:r>
              <w:rPr>
                <w:rFonts w:hint="eastAsia" w:ascii="仿宋" w:hAnsi="仿宋" w:eastAsia="仿宋" w:cs="仿宋"/>
                <w:b/>
                <w:bCs/>
                <w:color w:val="auto"/>
                <w:sz w:val="22"/>
                <w:szCs w:val="22"/>
              </w:rPr>
              <w:t>【行政法规】《社会救助暂行办法》（2014年国务院令第649号）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b/>
                <w:bCs/>
                <w:color w:val="auto"/>
                <w:sz w:val="22"/>
                <w:szCs w:val="22"/>
              </w:rPr>
              <w:t>第十一条</w:t>
            </w:r>
            <w:r>
              <w:rPr>
                <w:rFonts w:hint="eastAsia" w:ascii="仿宋" w:hAnsi="仿宋" w:eastAsia="仿宋" w:cs="仿宋"/>
                <w:color w:val="auto"/>
                <w:sz w:val="22"/>
                <w:szCs w:val="22"/>
              </w:rPr>
              <w:t>　申请最低生活保障，按照下列程序办理：</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（一）由共同生活的家庭成员向户籍所在地的乡镇人民政府、街道办事处提出书面申请；家庭成员申请有困难的，可以委托村民委员会、居民委员会代为提出申请。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color w:val="auto"/>
              </w:rPr>
            </w:pPr>
            <w:r>
              <w:rPr>
                <w:rFonts w:hint="eastAsia" w:ascii="仿宋" w:hAnsi="仿宋" w:eastAsia="仿宋" w:cs="仿宋"/>
                <w:color w:val="auto"/>
                <w:sz w:val="22"/>
                <w:szCs w:val="22"/>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tc>
      </w:tr>
      <w:tr>
        <w:tblPrEx>
          <w:tblLayout w:type="fixed"/>
          <w:tblCellMar>
            <w:top w:w="0" w:type="dxa"/>
            <w:left w:w="0" w:type="dxa"/>
            <w:bottom w:w="0" w:type="dxa"/>
            <w:right w:w="0" w:type="dxa"/>
          </w:tblCellMar>
        </w:tblPrEx>
        <w:trPr>
          <w:trHeight w:val="602" w:hRule="atLeast"/>
          <w:tblCellSpacing w:w="0" w:type="dxa"/>
        </w:trPr>
        <w:tc>
          <w:tcPr>
            <w:tcW w:w="45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300" w:lineRule="atLeast"/>
              <w:ind w:left="0" w:leftChars="0" w:firstLine="0" w:firstLineChars="0"/>
              <w:jc w:val="both"/>
              <w:rPr>
                <w:rFonts w:hint="eastAsia" w:ascii="仿宋_GB2312" w:hAnsi="微软雅黑" w:eastAsia="仿宋_GB2312" w:cs="仿宋_GB2312"/>
                <w:color w:val="auto"/>
                <w:sz w:val="21"/>
                <w:szCs w:val="21"/>
                <w:lang w:val="en-US" w:eastAsia="zh-CN"/>
              </w:rPr>
            </w:pPr>
            <w:r>
              <w:rPr>
                <w:rFonts w:hint="eastAsia" w:ascii="仿宋_GB2312" w:hAnsi="微软雅黑" w:eastAsia="仿宋_GB2312" w:cs="仿宋_GB2312"/>
                <w:color w:val="auto"/>
                <w:sz w:val="21"/>
                <w:szCs w:val="21"/>
                <w:lang w:val="en-US" w:eastAsia="zh-CN"/>
              </w:rPr>
              <w:t>2</w:t>
            </w:r>
          </w:p>
        </w:tc>
        <w:tc>
          <w:tcPr>
            <w:tcW w:w="10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_GB2312" w:hAnsi="微软雅黑" w:eastAsia="仿宋_GB2312" w:cs="仿宋_GB2312"/>
                <w:color w:val="auto"/>
                <w:sz w:val="21"/>
                <w:szCs w:val="21"/>
              </w:rPr>
              <w:t>申请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_GB2312" w:hAnsi="微软雅黑" w:eastAsia="仿宋_GB2312" w:cs="仿宋_GB2312"/>
                <w:color w:val="auto"/>
                <w:sz w:val="21"/>
                <w:szCs w:val="21"/>
              </w:rPr>
              <w:t>条件</w:t>
            </w:r>
          </w:p>
        </w:tc>
        <w:tc>
          <w:tcPr>
            <w:tcW w:w="12566"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color w:val="auto"/>
              </w:rPr>
            </w:pPr>
            <w:r>
              <w:rPr>
                <w:rFonts w:hint="eastAsia" w:ascii="仿宋" w:hAnsi="仿宋" w:eastAsia="仿宋" w:cs="仿宋"/>
                <w:color w:val="auto"/>
                <w:sz w:val="22"/>
                <w:szCs w:val="22"/>
              </w:rPr>
              <w:t>1.所提供材料真实有效</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rPr>
              <w:t>2.所申报城县居民最低生活保障对象符合《社会救助暂行办法</w:t>
            </w:r>
            <w:r>
              <w:rPr>
                <w:rFonts w:hint="eastAsia" w:ascii="仿宋_GB2312" w:hAnsi="微软雅黑" w:eastAsia="仿宋_GB2312" w:cs="仿宋_GB2312"/>
                <w:color w:val="auto"/>
                <w:sz w:val="21"/>
                <w:szCs w:val="21"/>
              </w:rPr>
              <w:t>》</w:t>
            </w:r>
          </w:p>
        </w:tc>
      </w:tr>
      <w:tr>
        <w:tblPrEx>
          <w:tblLayout w:type="fixed"/>
          <w:tblCellMar>
            <w:top w:w="0" w:type="dxa"/>
            <w:left w:w="0" w:type="dxa"/>
            <w:bottom w:w="0" w:type="dxa"/>
            <w:right w:w="0" w:type="dxa"/>
          </w:tblCellMar>
        </w:tblPrEx>
        <w:trPr>
          <w:trHeight w:val="1026" w:hRule="atLeast"/>
          <w:tblCellSpacing w:w="0" w:type="dxa"/>
        </w:trPr>
        <w:tc>
          <w:tcPr>
            <w:tcW w:w="45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300" w:lineRule="atLeast"/>
              <w:ind w:left="0" w:leftChars="0" w:firstLine="0" w:firstLineChars="0"/>
              <w:jc w:val="both"/>
              <w:rPr>
                <w:rFonts w:hint="eastAsia" w:ascii="仿宋_GB2312" w:hAnsi="微软雅黑" w:eastAsia="仿宋_GB2312" w:cs="仿宋_GB2312"/>
                <w:color w:val="auto"/>
                <w:sz w:val="21"/>
                <w:szCs w:val="21"/>
              </w:rPr>
            </w:pPr>
            <w:r>
              <w:rPr>
                <w:rFonts w:hint="eastAsia" w:ascii="仿宋_GB2312" w:hAnsi="微软雅黑" w:eastAsia="仿宋_GB2312" w:cs="仿宋_GB2312"/>
                <w:color w:val="auto"/>
                <w:sz w:val="21"/>
                <w:szCs w:val="21"/>
              </w:rPr>
              <w:t>3</w:t>
            </w:r>
          </w:p>
        </w:tc>
        <w:tc>
          <w:tcPr>
            <w:tcW w:w="10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_GB2312" w:hAnsi="微软雅黑" w:eastAsia="仿宋_GB2312" w:cs="仿宋_GB2312"/>
                <w:color w:val="auto"/>
                <w:sz w:val="21"/>
                <w:szCs w:val="21"/>
              </w:rPr>
              <w:t>申请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_GB2312" w:hAnsi="微软雅黑" w:eastAsia="仿宋_GB2312" w:cs="仿宋_GB2312"/>
                <w:color w:val="auto"/>
                <w:sz w:val="21"/>
                <w:szCs w:val="21"/>
              </w:rPr>
              <w:t>材料</w:t>
            </w:r>
          </w:p>
        </w:tc>
        <w:tc>
          <w:tcPr>
            <w:tcW w:w="12566"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textAlignment w:val="auto"/>
              <w:outlineLvl w:val="9"/>
              <w:rPr>
                <w:color w:val="auto"/>
              </w:rPr>
            </w:pPr>
            <w:r>
              <w:rPr>
                <w:rFonts w:hint="eastAsia" w:ascii="仿宋" w:hAnsi="仿宋" w:eastAsia="仿宋" w:cs="仿宋"/>
                <w:color w:val="auto"/>
                <w:sz w:val="22"/>
                <w:szCs w:val="22"/>
              </w:rPr>
              <w:t>1.户口簿、身份证原件、复印件；2.家庭成员收入证明；3.已缴纳养老、医疗、失业等社会保险缴纳凭证原件及复印件；4.房产证原件及复印件（租房协议原件及复印件）；5.因征地拆迁一次性安置补偿费提供安置协议和补偿费使用相关证明；6.如家庭离异的，提供《离婚证》或《离婚判决书》；7.有在校学生家庭，提供子女就读学校证明；8.因家庭成员患病导致家庭困难的，提供县级以上医疗机构出具病情诊断报告；9.残疾人提供《残疾证》或县级以上残联出具证明；10.失业证。</w:t>
            </w:r>
          </w:p>
        </w:tc>
      </w:tr>
      <w:tr>
        <w:tblPrEx>
          <w:tblLayout w:type="fixed"/>
          <w:tblCellMar>
            <w:top w:w="0" w:type="dxa"/>
            <w:left w:w="0" w:type="dxa"/>
            <w:bottom w:w="0" w:type="dxa"/>
            <w:right w:w="0" w:type="dxa"/>
          </w:tblCellMar>
        </w:tblPrEx>
        <w:trPr>
          <w:trHeight w:val="90" w:hRule="atLeast"/>
          <w:tblCellSpacing w:w="0" w:type="dxa"/>
        </w:trPr>
        <w:tc>
          <w:tcPr>
            <w:tcW w:w="452" w:type="dxa"/>
            <w:tcBorders>
              <w:top w:val="nil"/>
              <w:left w:val="single" w:color="000000" w:sz="6" w:space="0"/>
              <w:bottom w:val="single" w:color="auto" w:sz="6" w:space="0"/>
              <w:right w:val="single" w:color="000000"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300" w:lineRule="atLeast"/>
              <w:ind w:left="0" w:leftChars="0" w:firstLine="0" w:firstLineChars="0"/>
              <w:jc w:val="both"/>
              <w:rPr>
                <w:color w:val="auto"/>
              </w:rPr>
            </w:pPr>
            <w:r>
              <w:rPr>
                <w:rFonts w:hint="eastAsia" w:ascii="仿宋_GB2312" w:hAnsi="微软雅黑" w:eastAsia="仿宋_GB2312" w:cs="仿宋_GB2312"/>
                <w:color w:val="auto"/>
                <w:sz w:val="21"/>
                <w:szCs w:val="21"/>
              </w:rPr>
              <w:t>4</w:t>
            </w:r>
          </w:p>
        </w:tc>
        <w:tc>
          <w:tcPr>
            <w:tcW w:w="100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_GB2312" w:hAnsi="微软雅黑" w:eastAsia="仿宋_GB2312" w:cs="仿宋_GB2312"/>
                <w:color w:val="auto"/>
                <w:sz w:val="21"/>
                <w:szCs w:val="21"/>
              </w:rPr>
              <w:t>办理</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_GB2312" w:hAnsi="微软雅黑" w:eastAsia="仿宋_GB2312" w:cs="仿宋_GB2312"/>
                <w:color w:val="auto"/>
                <w:sz w:val="21"/>
                <w:szCs w:val="21"/>
              </w:rPr>
              <w:t>流程</w:t>
            </w:r>
          </w:p>
        </w:tc>
        <w:tc>
          <w:tcPr>
            <w:tcW w:w="12566" w:type="dxa"/>
            <w:tcBorders>
              <w:top w:val="nil"/>
              <w:left w:val="nil"/>
              <w:bottom w:val="single" w:color="auto"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1.由共同生活的家庭成员向户籍所在地的街道提出书面申请；家庭成员申请有困难的，可以委托居民委员会代为提出申请；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2.街道应当在接到最低生活保障申请之日起20个工作日内通过入户调查、邻里访问、信函索证、群众评议、信息核查等方式，对申请人的家庭收入状况、财产状况进行调查核实，并经民主评议后提出初审意见。初审结果在申请人所在居民委员会公示7天无异议后报县级民政部门审批；</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textAlignment w:val="auto"/>
              <w:outlineLvl w:val="9"/>
              <w:rPr>
                <w:color w:val="auto"/>
              </w:rPr>
            </w:pPr>
            <w:r>
              <w:rPr>
                <w:rFonts w:hint="eastAsia" w:ascii="仿宋" w:hAnsi="仿宋" w:eastAsia="仿宋" w:cs="仿宋"/>
                <w:color w:val="auto"/>
                <w:sz w:val="22"/>
                <w:szCs w:val="22"/>
              </w:rPr>
              <w:t>3.县级民政部门应在收到初审意见和有关材料之日起7个工作日内提出审批意见。对符合条件的，在申请人所在居民委员会公示7天无异议后给予批准;对公示有异议的，街道在10个工作日内重新组织核实上报，由上级民政部门在10个工作日内做出审批决定，并对拟批准的申请重新公示7天；对不符合条件的，应在作出不予批准决定5个工作日内书面向申请人说明理由。</w:t>
            </w:r>
          </w:p>
        </w:tc>
      </w:tr>
      <w:tr>
        <w:tblPrEx>
          <w:tblLayout w:type="fixed"/>
          <w:tblCellMar>
            <w:top w:w="0" w:type="dxa"/>
            <w:left w:w="0" w:type="dxa"/>
            <w:bottom w:w="0" w:type="dxa"/>
            <w:right w:w="0" w:type="dxa"/>
          </w:tblCellMar>
        </w:tblPrEx>
        <w:trPr>
          <w:trHeight w:val="677" w:hRule="atLeast"/>
          <w:tblCellSpacing w:w="0" w:type="dxa"/>
        </w:trPr>
        <w:tc>
          <w:tcPr>
            <w:tcW w:w="45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300" w:lineRule="atLeast"/>
              <w:ind w:left="0" w:leftChars="0" w:firstLine="0" w:firstLineChars="0"/>
              <w:jc w:val="both"/>
              <w:rPr>
                <w:color w:val="auto"/>
              </w:rPr>
            </w:pPr>
            <w:r>
              <w:rPr>
                <w:rFonts w:hint="eastAsia" w:ascii="仿宋_GB2312" w:hAnsi="微软雅黑" w:eastAsia="仿宋_GB2312" w:cs="仿宋_GB2312"/>
                <w:color w:val="auto"/>
                <w:sz w:val="21"/>
                <w:szCs w:val="21"/>
              </w:rPr>
              <w:t>5</w:t>
            </w:r>
          </w:p>
        </w:tc>
        <w:tc>
          <w:tcPr>
            <w:tcW w:w="10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spacing w:before="150" w:beforeLines="0" w:beforeAutospacing="0" w:after="0" w:afterLines="0" w:afterAutospacing="0" w:line="300" w:lineRule="atLeast"/>
              <w:ind w:left="0" w:leftChars="0" w:firstLine="0" w:firstLineChars="0"/>
              <w:jc w:val="both"/>
              <w:rPr>
                <w:color w:val="auto"/>
              </w:rPr>
            </w:pPr>
            <w:r>
              <w:rPr>
                <w:rFonts w:hint="eastAsia" w:ascii="仿宋_GB2312" w:hAnsi="微软雅黑" w:eastAsia="仿宋_GB2312" w:cs="仿宋_GB2312"/>
                <w:color w:val="auto"/>
                <w:sz w:val="21"/>
                <w:szCs w:val="21"/>
              </w:rPr>
              <w:t>办理时限</w:t>
            </w:r>
          </w:p>
        </w:tc>
        <w:tc>
          <w:tcPr>
            <w:tcW w:w="12566"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4"/>
              <w:widowControl/>
              <w:spacing w:before="150" w:beforeLines="0" w:beforeAutospacing="0" w:after="0" w:afterLines="0" w:afterAutospacing="0" w:line="300" w:lineRule="atLeast"/>
              <w:rPr>
                <w:rFonts w:hint="eastAsia" w:eastAsia="仿宋"/>
                <w:color w:val="auto"/>
              </w:rPr>
            </w:pPr>
            <w:r>
              <w:rPr>
                <w:rFonts w:hint="eastAsia" w:ascii="仿宋" w:hAnsi="仿宋" w:eastAsia="仿宋" w:cs="仿宋"/>
                <w:color w:val="auto"/>
                <w:sz w:val="22"/>
                <w:szCs w:val="22"/>
              </w:rPr>
              <w:t>48个工作日内</w:t>
            </w:r>
          </w:p>
        </w:tc>
      </w:tr>
    </w:tbl>
    <w:p>
      <w:pPr>
        <w:pStyle w:val="4"/>
        <w:widowControl/>
        <w:shd w:val="clear" w:color="auto" w:fill="FFFFFF"/>
        <w:spacing w:before="150" w:beforeLines="0" w:beforeAutospacing="0" w:after="0" w:afterLines="0" w:afterAutospacing="0" w:line="495" w:lineRule="atLeast"/>
        <w:ind w:left="0" w:leftChars="0" w:firstLine="1760" w:firstLineChars="400"/>
        <w:jc w:val="center"/>
        <w:rPr>
          <w:rFonts w:hint="eastAsia" w:ascii="方正小标宋_GBK" w:hAnsi="方正小标宋_GBK" w:eastAsia="方正小标宋_GBK" w:cs="方正小标宋_GBK"/>
          <w:color w:val="auto"/>
          <w:sz w:val="44"/>
          <w:szCs w:val="44"/>
          <w:shd w:val="clear" w:color="auto" w:fill="FFFFFF"/>
        </w:rPr>
      </w:pPr>
    </w:p>
    <w:p>
      <w:pPr>
        <w:pStyle w:val="4"/>
        <w:widowControl/>
        <w:shd w:val="clear" w:color="auto" w:fill="FFFFFF"/>
        <w:spacing w:before="150" w:beforeLines="0" w:beforeAutospacing="0" w:after="0" w:afterLines="0" w:afterAutospacing="0" w:line="495" w:lineRule="atLeast"/>
        <w:ind w:left="0" w:leftChars="0" w:firstLine="0" w:firstLineChars="0"/>
        <w:jc w:val="center"/>
        <w:rPr>
          <w:rFonts w:hint="eastAsia" w:ascii="微软雅黑" w:hAnsi="微软雅黑" w:eastAsia="微软雅黑" w:cs="微软雅黑"/>
          <w:color w:val="auto"/>
          <w:sz w:val="44"/>
          <w:szCs w:val="44"/>
        </w:rPr>
      </w:pPr>
      <w:r>
        <w:rPr>
          <w:rFonts w:hint="eastAsia" w:ascii="方正小标宋_GBK" w:hAnsi="方正小标宋_GBK" w:eastAsia="方正小标宋_GBK" w:cs="方正小标宋_GBK"/>
          <w:color w:val="auto"/>
          <w:sz w:val="44"/>
          <w:szCs w:val="44"/>
          <w:shd w:val="clear" w:color="auto" w:fill="FFFFFF"/>
        </w:rPr>
        <w:t>(第</w:t>
      </w:r>
      <w:r>
        <w:rPr>
          <w:rFonts w:hint="eastAsia" w:ascii="方正小标宋_GBK" w:hAnsi="方正小标宋_GBK" w:eastAsia="方正小标宋_GBK" w:cs="方正小标宋_GBK"/>
          <w:color w:val="auto"/>
          <w:sz w:val="44"/>
          <w:szCs w:val="44"/>
          <w:shd w:val="clear" w:color="auto" w:fill="FFFFFF"/>
          <w:lang w:val="en-US" w:eastAsia="zh-CN"/>
        </w:rPr>
        <w:t>5</w:t>
      </w:r>
      <w:r>
        <w:rPr>
          <w:rFonts w:hint="eastAsia" w:ascii="方正小标宋_GBK" w:hAnsi="方正小标宋_GBK" w:eastAsia="方正小标宋_GBK" w:cs="方正小标宋_GBK"/>
          <w:color w:val="auto"/>
          <w:sz w:val="44"/>
          <w:szCs w:val="44"/>
          <w:shd w:val="clear" w:color="auto" w:fill="FFFFFF"/>
        </w:rPr>
        <w:t>项)</w:t>
      </w:r>
    </w:p>
    <w:tbl>
      <w:tblPr>
        <w:tblStyle w:val="7"/>
        <w:tblW w:w="14359" w:type="dxa"/>
        <w:tblCellSpacing w:w="0" w:type="dxa"/>
        <w:tblInd w:w="-246" w:type="dxa"/>
        <w:shd w:val="clear" w:color="auto" w:fill="FFFFFF"/>
        <w:tblLayout w:type="fixed"/>
        <w:tblCellMar>
          <w:top w:w="0" w:type="dxa"/>
          <w:left w:w="0" w:type="dxa"/>
          <w:bottom w:w="0" w:type="dxa"/>
          <w:right w:w="0" w:type="dxa"/>
        </w:tblCellMar>
      </w:tblPr>
      <w:tblGrid>
        <w:gridCol w:w="570"/>
        <w:gridCol w:w="945"/>
        <w:gridCol w:w="12844"/>
      </w:tblGrid>
      <w:tr>
        <w:tblPrEx>
          <w:shd w:val="clear" w:color="auto" w:fill="FFFFFF"/>
          <w:tblLayout w:type="fixed"/>
          <w:tblCellMar>
            <w:top w:w="0" w:type="dxa"/>
            <w:left w:w="0" w:type="dxa"/>
            <w:bottom w:w="0" w:type="dxa"/>
            <w:right w:w="0" w:type="dxa"/>
          </w:tblCellMar>
        </w:tblPrEx>
        <w:trPr>
          <w:trHeight w:val="1063" w:hRule="atLeast"/>
          <w:tblCellSpacing w:w="0" w:type="dxa"/>
        </w:trPr>
        <w:tc>
          <w:tcPr>
            <w:tcW w:w="570" w:type="dxa"/>
            <w:tcBorders>
              <w:top w:val="single" w:color="auto" w:sz="6" w:space="0"/>
              <w:left w:val="single" w:color="auto" w:sz="6" w:space="0"/>
              <w:bottom w:val="single" w:color="auto"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color w:val="auto"/>
              </w:rPr>
            </w:pPr>
            <w:r>
              <w:rPr>
                <w:rFonts w:hint="eastAsia" w:ascii="仿宋" w:hAnsi="仿宋" w:eastAsia="仿宋" w:cs="仿宋"/>
                <w:color w:val="auto"/>
              </w:rPr>
              <w:t>序号</w:t>
            </w:r>
          </w:p>
        </w:tc>
        <w:tc>
          <w:tcPr>
            <w:tcW w:w="9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其他行政行为事项</w:t>
            </w:r>
          </w:p>
        </w:tc>
        <w:tc>
          <w:tcPr>
            <w:tcW w:w="12844"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黑体" w:hAnsi="宋体" w:eastAsia="黑体" w:cs="黑体"/>
                <w:color w:val="auto"/>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黑体" w:hAnsi="宋体" w:eastAsia="黑体" w:cs="黑体"/>
                <w:color w:val="auto"/>
              </w:rPr>
              <w:t>审核并报送农村五保户供养待遇申请</w:t>
            </w:r>
          </w:p>
        </w:tc>
      </w:tr>
      <w:tr>
        <w:tblPrEx>
          <w:tblLayout w:type="fixed"/>
          <w:tblCellMar>
            <w:top w:w="0" w:type="dxa"/>
            <w:left w:w="0" w:type="dxa"/>
            <w:bottom w:w="0" w:type="dxa"/>
            <w:right w:w="0" w:type="dxa"/>
          </w:tblCellMar>
        </w:tblPrEx>
        <w:trPr>
          <w:trHeight w:val="90" w:hRule="atLeast"/>
          <w:tblCellSpacing w:w="0" w:type="dxa"/>
        </w:trPr>
        <w:tc>
          <w:tcPr>
            <w:tcW w:w="5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1</w:t>
            </w:r>
          </w:p>
        </w:tc>
        <w:tc>
          <w:tcPr>
            <w:tcW w:w="9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法律</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依据</w:t>
            </w:r>
          </w:p>
        </w:tc>
        <w:tc>
          <w:tcPr>
            <w:tcW w:w="12844"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b/>
                <w:bCs/>
                <w:color w:val="auto"/>
                <w:sz w:val="22"/>
                <w:szCs w:val="22"/>
              </w:rPr>
            </w:pPr>
            <w:r>
              <w:rPr>
                <w:rFonts w:hint="eastAsia" w:ascii="仿宋_GB2312" w:hAnsi="仿宋_GB2312" w:eastAsia="仿宋_GB2312" w:cs="仿宋_GB2312"/>
                <w:b/>
                <w:color w:val="auto"/>
                <w:sz w:val="18"/>
                <w:szCs w:val="18"/>
              </w:rPr>
              <w:t>【</w:t>
            </w:r>
            <w:r>
              <w:rPr>
                <w:rFonts w:hint="eastAsia" w:ascii="仿宋" w:hAnsi="仿宋" w:eastAsia="仿宋" w:cs="仿宋"/>
                <w:b/>
                <w:bCs/>
                <w:color w:val="auto"/>
                <w:sz w:val="22"/>
                <w:szCs w:val="22"/>
              </w:rPr>
              <w:t>国务院】《农村五保供养工作条例（2006年修订本）》</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b/>
                <w:bCs/>
                <w:color w:val="auto"/>
                <w:sz w:val="22"/>
                <w:szCs w:val="22"/>
              </w:rPr>
              <w:t>第六条</w:t>
            </w:r>
            <w:r>
              <w:rPr>
                <w:rFonts w:hint="eastAsia" w:ascii="仿宋" w:hAnsi="仿宋" w:eastAsia="仿宋" w:cs="仿宋"/>
                <w:color w:val="auto"/>
                <w:sz w:val="22"/>
                <w:szCs w:val="22"/>
              </w:rPr>
              <w:t> 老年、残疾或者未满16周岁的村民，无劳动能力、无生活来源又无法定赡养、抚养、扶养义务人，或者其法定赡养、抚养、扶养义务人无赡养、抚养、扶养能力的，享受农村五保供养待遇。</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b/>
                <w:bCs/>
                <w:color w:val="auto"/>
                <w:sz w:val="22"/>
                <w:szCs w:val="22"/>
              </w:rPr>
              <w:t>第七条</w:t>
            </w:r>
            <w:r>
              <w:rPr>
                <w:rFonts w:hint="eastAsia" w:ascii="仿宋" w:hAnsi="仿宋" w:eastAsia="仿宋" w:cs="仿宋"/>
                <w:color w:val="auto"/>
                <w:sz w:val="22"/>
                <w:szCs w:val="22"/>
              </w:rPr>
              <w:t xml:space="preserve"> 享受农村五保供养待遇，应当由村民本人向村民委员会提出申请；因年幼或者智力残疾无法表达意愿的，由村民小组或者其他村民代为提出申请。经村民委员会民主评议，对符合本条例第六条规定条件的，在本村范围内公告；无重大异议的，由村民委员会将评议意见和有关材料报送乡、民族乡、镇人民政府审核。</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textAlignment w:val="auto"/>
              <w:outlineLvl w:val="9"/>
              <w:rPr>
                <w:rFonts w:hint="eastAsia"/>
                <w:color w:val="auto"/>
              </w:rPr>
            </w:pPr>
            <w:r>
              <w:rPr>
                <w:rFonts w:hint="eastAsia" w:ascii="仿宋" w:hAnsi="仿宋" w:eastAsia="仿宋" w:cs="仿宋"/>
                <w:color w:val="auto"/>
                <w:sz w:val="22"/>
                <w:szCs w:val="22"/>
              </w:rPr>
              <w:t>乡、民族乡、镇人民政府应当自收到评议意见之日起20日内提出审核意见，并将审核意见和有关材料报送县级人民政府民政部门审批。县级人民政府民政部门应当自收到审核意见和有关材料之日起20日内作出审批决定。对批准给予农村五保供养待遇的，发给《农村五保供养证书》；对不符合条件不予批准的，应当书面说明理由。</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firstLine="0" w:firstLineChars="0"/>
              <w:textAlignment w:val="auto"/>
              <w:outlineLvl w:val="9"/>
              <w:rPr>
                <w:color w:val="auto"/>
              </w:rPr>
            </w:pPr>
            <w:r>
              <w:rPr>
                <w:rFonts w:hint="eastAsia" w:ascii="仿宋" w:hAnsi="仿宋" w:eastAsia="仿宋" w:cs="仿宋"/>
                <w:color w:val="auto"/>
                <w:sz w:val="22"/>
                <w:szCs w:val="22"/>
              </w:rPr>
              <w:t>乡、民族乡、镇人民政府应当对申请人的家庭状况和经济条件进行调查核实；必要时，县级人民政府民政部门可以进行复核。申请人、有关组织或者个人应当配合、接受调查，如实提供有关情况</w:t>
            </w:r>
            <w:r>
              <w:rPr>
                <w:rFonts w:hint="eastAsia"/>
                <w:color w:val="auto"/>
              </w:rPr>
              <w:t>。</w:t>
            </w:r>
          </w:p>
        </w:tc>
      </w:tr>
      <w:tr>
        <w:tblPrEx>
          <w:tblLayout w:type="fixed"/>
          <w:tblCellMar>
            <w:top w:w="0" w:type="dxa"/>
            <w:left w:w="0" w:type="dxa"/>
            <w:bottom w:w="0" w:type="dxa"/>
            <w:right w:w="0" w:type="dxa"/>
          </w:tblCellMar>
        </w:tblPrEx>
        <w:trPr>
          <w:trHeight w:val="644" w:hRule="atLeast"/>
          <w:tblCellSpacing w:w="0" w:type="dxa"/>
        </w:trPr>
        <w:tc>
          <w:tcPr>
            <w:tcW w:w="5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2</w:t>
            </w:r>
          </w:p>
        </w:tc>
        <w:tc>
          <w:tcPr>
            <w:tcW w:w="9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申请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条件</w:t>
            </w:r>
          </w:p>
        </w:tc>
        <w:tc>
          <w:tcPr>
            <w:tcW w:w="1284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numPr>
                <w:ilvl w:val="0"/>
                <w:numId w:val="1"/>
              </w:numPr>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eastAsia="仿宋"/>
                <w:color w:val="auto"/>
              </w:rPr>
            </w:pPr>
            <w:r>
              <w:rPr>
                <w:rFonts w:hint="eastAsia" w:ascii="仿宋" w:hAnsi="仿宋" w:eastAsia="仿宋" w:cs="仿宋"/>
                <w:color w:val="auto"/>
                <w:sz w:val="22"/>
                <w:szCs w:val="22"/>
              </w:rPr>
              <w:t>所申报供养对象符合国务院《农村五保供养工作条例（2006年修订本）》第六条的规定；2.所提供材料真实有效。</w:t>
            </w:r>
          </w:p>
        </w:tc>
      </w:tr>
      <w:tr>
        <w:tblPrEx>
          <w:tblLayout w:type="fixed"/>
          <w:tblCellMar>
            <w:top w:w="0" w:type="dxa"/>
            <w:left w:w="0" w:type="dxa"/>
            <w:bottom w:w="0" w:type="dxa"/>
            <w:right w:w="0" w:type="dxa"/>
          </w:tblCellMar>
        </w:tblPrEx>
        <w:trPr>
          <w:trHeight w:val="358" w:hRule="atLeast"/>
          <w:tblCellSpacing w:w="0" w:type="dxa"/>
        </w:trPr>
        <w:tc>
          <w:tcPr>
            <w:tcW w:w="5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3</w:t>
            </w:r>
          </w:p>
        </w:tc>
        <w:tc>
          <w:tcPr>
            <w:tcW w:w="9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color w:val="auto"/>
              </w:rPr>
            </w:pPr>
            <w:r>
              <w:rPr>
                <w:rFonts w:hint="eastAsia" w:ascii="仿宋" w:hAnsi="仿宋" w:eastAsia="仿宋" w:cs="仿宋"/>
                <w:color w:val="auto"/>
                <w:sz w:val="18"/>
                <w:szCs w:val="13"/>
              </w:rPr>
              <w:t>申请材料</w:t>
            </w:r>
          </w:p>
        </w:tc>
        <w:tc>
          <w:tcPr>
            <w:tcW w:w="12844"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numPr>
                <w:ilvl w:val="0"/>
                <w:numId w:val="2"/>
              </w:numPr>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eastAsia="仿宋"/>
                <w:color w:val="auto"/>
              </w:rPr>
            </w:pPr>
            <w:r>
              <w:rPr>
                <w:rFonts w:hint="eastAsia" w:ascii="仿宋" w:hAnsi="仿宋" w:eastAsia="仿宋" w:cs="仿宋"/>
                <w:color w:val="auto"/>
                <w:sz w:val="22"/>
                <w:szCs w:val="22"/>
              </w:rPr>
              <w:t>个人书面申请书；</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五保户供养协议书；</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《五保户供养审批表》；4.本人有效身份证明。</w:t>
            </w:r>
          </w:p>
        </w:tc>
      </w:tr>
      <w:tr>
        <w:tblPrEx>
          <w:tblLayout w:type="fixed"/>
          <w:tblCellMar>
            <w:top w:w="0" w:type="dxa"/>
            <w:left w:w="0" w:type="dxa"/>
            <w:bottom w:w="0" w:type="dxa"/>
            <w:right w:w="0" w:type="dxa"/>
          </w:tblCellMar>
        </w:tblPrEx>
        <w:trPr>
          <w:trHeight w:val="90" w:hRule="atLeast"/>
          <w:tblCellSpacing w:w="0" w:type="dxa"/>
        </w:trPr>
        <w:tc>
          <w:tcPr>
            <w:tcW w:w="5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4</w:t>
            </w:r>
          </w:p>
        </w:tc>
        <w:tc>
          <w:tcPr>
            <w:tcW w:w="9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办理</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流程</w:t>
            </w:r>
          </w:p>
        </w:tc>
        <w:tc>
          <w:tcPr>
            <w:tcW w:w="12844"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numPr>
                <w:ilvl w:val="0"/>
                <w:numId w:val="3"/>
              </w:numPr>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由村民本人向村民委员会提出申请；因年幼或者智力残疾无法表达意愿的，由村民小组或者其他村民代为提出申请；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color w:val="auto"/>
              </w:rPr>
            </w:pPr>
            <w:r>
              <w:rPr>
                <w:rFonts w:hint="eastAsia" w:ascii="仿宋" w:hAnsi="仿宋" w:eastAsia="仿宋" w:cs="仿宋"/>
                <w:color w:val="auto"/>
                <w:sz w:val="22"/>
                <w:szCs w:val="22"/>
              </w:rPr>
              <w:t>2、享受农村五保供养待遇，应当经村民委员会民主评议，对符合本条例第六条规定条件的，在本村范围内公告。无重大异议的，由村民委员会将评议意见和有关材料报送镇人民政府审核</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3、镇人民政府对申请人进行调查核实，并提出审核意见，将审核意见和有关材料报送市民政局审批；4、市民政局、财政局审批决定后，对批准给予农村五保供养待遇的发给《农村五保供养证书》。</w:t>
            </w:r>
          </w:p>
        </w:tc>
      </w:tr>
      <w:tr>
        <w:tblPrEx>
          <w:tblLayout w:type="fixed"/>
          <w:tblCellMar>
            <w:top w:w="0" w:type="dxa"/>
            <w:left w:w="0" w:type="dxa"/>
            <w:bottom w:w="0" w:type="dxa"/>
            <w:right w:w="0" w:type="dxa"/>
          </w:tblCellMar>
        </w:tblPrEx>
        <w:trPr>
          <w:trHeight w:val="434" w:hRule="atLeast"/>
          <w:tblCellSpacing w:w="0" w:type="dxa"/>
        </w:trPr>
        <w:tc>
          <w:tcPr>
            <w:tcW w:w="5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sz w:val="21"/>
                <w:szCs w:val="21"/>
              </w:rPr>
              <w:t>5</w:t>
            </w:r>
          </w:p>
        </w:tc>
        <w:tc>
          <w:tcPr>
            <w:tcW w:w="9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color w:val="auto"/>
              </w:rPr>
            </w:pPr>
            <w:r>
              <w:rPr>
                <w:rFonts w:hint="eastAsia" w:ascii="仿宋" w:hAnsi="仿宋" w:eastAsia="仿宋" w:cs="仿宋"/>
                <w:color w:val="auto"/>
                <w:sz w:val="18"/>
                <w:szCs w:val="13"/>
              </w:rPr>
              <w:t>办理时限</w:t>
            </w:r>
          </w:p>
        </w:tc>
        <w:tc>
          <w:tcPr>
            <w:tcW w:w="12844"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eastAsia="仿宋"/>
                <w:color w:val="auto"/>
              </w:rPr>
            </w:pPr>
            <w:r>
              <w:rPr>
                <w:rFonts w:hint="eastAsia" w:ascii="仿宋" w:hAnsi="仿宋" w:eastAsia="仿宋" w:cs="仿宋"/>
                <w:color w:val="auto"/>
                <w:sz w:val="22"/>
                <w:szCs w:val="22"/>
              </w:rPr>
              <w:t>40个工作日内</w:t>
            </w:r>
          </w:p>
        </w:tc>
      </w:tr>
    </w:tbl>
    <w:p>
      <w:pPr>
        <w:pStyle w:val="4"/>
        <w:widowControl/>
        <w:shd w:val="clear" w:color="auto" w:fill="FFFFFF"/>
        <w:spacing w:before="150" w:beforeLines="0" w:beforeAutospacing="0" w:after="0" w:afterLines="0" w:afterAutospacing="0" w:line="495" w:lineRule="atLeast"/>
        <w:ind w:left="0" w:leftChars="0" w:firstLine="0" w:firstLineChars="0"/>
        <w:jc w:val="center"/>
        <w:rPr>
          <w:rFonts w:hint="eastAsia" w:ascii="微软雅黑" w:hAnsi="微软雅黑" w:eastAsia="微软雅黑" w:cs="微软雅黑"/>
          <w:color w:val="auto"/>
          <w:sz w:val="44"/>
          <w:szCs w:val="44"/>
        </w:rPr>
      </w:pPr>
      <w:r>
        <w:rPr>
          <w:rFonts w:hint="eastAsia" w:ascii="方正小标宋_GBK" w:hAnsi="方正小标宋_GBK" w:eastAsia="方正小标宋_GBK" w:cs="方正小标宋_GBK"/>
          <w:color w:val="auto"/>
          <w:sz w:val="44"/>
          <w:szCs w:val="44"/>
          <w:shd w:val="clear" w:color="auto" w:fill="FFFFFF"/>
        </w:rPr>
        <w:t>(第</w:t>
      </w:r>
      <w:r>
        <w:rPr>
          <w:rFonts w:hint="eastAsia" w:ascii="方正小标宋_GBK" w:hAnsi="方正小标宋_GBK" w:eastAsia="方正小标宋_GBK" w:cs="方正小标宋_GBK"/>
          <w:color w:val="auto"/>
          <w:sz w:val="44"/>
          <w:szCs w:val="44"/>
          <w:shd w:val="clear" w:color="auto" w:fill="FFFFFF"/>
          <w:lang w:val="en-US" w:eastAsia="zh-CN"/>
        </w:rPr>
        <w:t>6</w:t>
      </w:r>
      <w:r>
        <w:rPr>
          <w:rFonts w:hint="eastAsia" w:ascii="方正小标宋_GBK" w:hAnsi="方正小标宋_GBK" w:eastAsia="方正小标宋_GBK" w:cs="方正小标宋_GBK"/>
          <w:color w:val="auto"/>
          <w:sz w:val="44"/>
          <w:szCs w:val="44"/>
          <w:shd w:val="clear" w:color="auto" w:fill="FFFFFF"/>
        </w:rPr>
        <w:t>项)</w:t>
      </w:r>
    </w:p>
    <w:tbl>
      <w:tblPr>
        <w:tblStyle w:val="7"/>
        <w:tblW w:w="14449" w:type="dxa"/>
        <w:tblCellSpacing w:w="0" w:type="dxa"/>
        <w:tblInd w:w="-366" w:type="dxa"/>
        <w:shd w:val="clear" w:color="auto" w:fill="FFFFFF"/>
        <w:tblLayout w:type="fixed"/>
        <w:tblCellMar>
          <w:top w:w="0" w:type="dxa"/>
          <w:left w:w="0" w:type="dxa"/>
          <w:bottom w:w="0" w:type="dxa"/>
          <w:right w:w="0" w:type="dxa"/>
        </w:tblCellMar>
      </w:tblPr>
      <w:tblGrid>
        <w:gridCol w:w="540"/>
        <w:gridCol w:w="975"/>
        <w:gridCol w:w="12934"/>
      </w:tblGrid>
      <w:tr>
        <w:tblPrEx>
          <w:shd w:val="clear" w:color="auto" w:fill="FFFFFF"/>
          <w:tblLayout w:type="fixed"/>
          <w:tblCellMar>
            <w:top w:w="0" w:type="dxa"/>
            <w:left w:w="0" w:type="dxa"/>
            <w:bottom w:w="0" w:type="dxa"/>
            <w:right w:w="0" w:type="dxa"/>
          </w:tblCellMar>
        </w:tblPrEx>
        <w:trPr>
          <w:trHeight w:val="965" w:hRule="atLeast"/>
          <w:tblCellSpacing w:w="0" w:type="dxa"/>
        </w:trPr>
        <w:tc>
          <w:tcPr>
            <w:tcW w:w="54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Style w:val="6"/>
                <w:rFonts w:hint="eastAsia" w:ascii="仿宋" w:hAnsi="仿宋" w:eastAsia="仿宋" w:cs="仿宋"/>
                <w:color w:val="auto"/>
              </w:rPr>
              <w:t>序号</w:t>
            </w:r>
          </w:p>
        </w:tc>
        <w:tc>
          <w:tcPr>
            <w:tcW w:w="97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其他行政行为事项</w:t>
            </w:r>
          </w:p>
        </w:tc>
        <w:tc>
          <w:tcPr>
            <w:tcW w:w="12934"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黑体" w:hAnsi="宋体" w:eastAsia="黑体" w:cs="黑体"/>
                <w:color w:val="auto"/>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黑体" w:hAnsi="宋体" w:eastAsia="黑体" w:cs="黑体"/>
                <w:color w:val="auto"/>
              </w:rPr>
              <w:t>终止特困人员供养的审核</w:t>
            </w:r>
          </w:p>
        </w:tc>
      </w:tr>
      <w:tr>
        <w:tblPrEx>
          <w:tblLayout w:type="fixed"/>
          <w:tblCellMar>
            <w:top w:w="0" w:type="dxa"/>
            <w:left w:w="0" w:type="dxa"/>
            <w:bottom w:w="0" w:type="dxa"/>
            <w:right w:w="0" w:type="dxa"/>
          </w:tblCellMar>
        </w:tblPrEx>
        <w:trPr>
          <w:trHeight w:val="1655" w:hRule="atLeast"/>
          <w:tblCellSpacing w:w="0" w:type="dxa"/>
        </w:trPr>
        <w:tc>
          <w:tcPr>
            <w:tcW w:w="5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Style w:val="6"/>
                <w:rFonts w:hint="eastAsia" w:ascii="仿宋" w:hAnsi="仿宋" w:eastAsia="仿宋" w:cs="仿宋"/>
                <w:color w:val="auto"/>
                <w:sz w:val="21"/>
                <w:szCs w:val="21"/>
              </w:rPr>
              <w:t>1</w:t>
            </w:r>
          </w:p>
        </w:tc>
        <w:tc>
          <w:tcPr>
            <w:tcW w:w="97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法律</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依据</w:t>
            </w:r>
          </w:p>
        </w:tc>
        <w:tc>
          <w:tcPr>
            <w:tcW w:w="12934"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b/>
                <w:bCs/>
                <w:color w:val="auto"/>
                <w:sz w:val="22"/>
                <w:szCs w:val="22"/>
              </w:rPr>
            </w:pPr>
            <w:r>
              <w:rPr>
                <w:rFonts w:hint="eastAsia" w:ascii="仿宋_GB2312" w:hAnsi="仿宋_GB2312" w:eastAsia="仿宋_GB2312" w:cs="仿宋_GB2312"/>
                <w:b/>
                <w:color w:val="auto"/>
                <w:sz w:val="18"/>
                <w:szCs w:val="18"/>
              </w:rPr>
              <w:t>【</w:t>
            </w:r>
            <w:r>
              <w:rPr>
                <w:rFonts w:hint="eastAsia" w:ascii="仿宋" w:hAnsi="仿宋" w:eastAsia="仿宋" w:cs="仿宋"/>
                <w:b/>
                <w:bCs/>
                <w:color w:val="auto"/>
                <w:sz w:val="22"/>
                <w:szCs w:val="22"/>
              </w:rPr>
              <w:t>国务院】《社会救助暂行办法》</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b/>
                <w:bCs/>
                <w:color w:val="auto"/>
                <w:sz w:val="22"/>
                <w:szCs w:val="22"/>
              </w:rPr>
            </w:pPr>
            <w:r>
              <w:rPr>
                <w:rFonts w:hint="eastAsia" w:ascii="仿宋" w:hAnsi="仿宋" w:eastAsia="仿宋" w:cs="仿宋"/>
                <w:b/>
                <w:bCs/>
                <w:color w:val="auto"/>
                <w:sz w:val="22"/>
                <w:szCs w:val="22"/>
              </w:rPr>
              <w:t>第十四条</w:t>
            </w:r>
            <w:r>
              <w:rPr>
                <w:rFonts w:hint="eastAsia" w:ascii="仿宋" w:hAnsi="仿宋" w:eastAsia="仿宋" w:cs="仿宋"/>
                <w:color w:val="auto"/>
                <w:sz w:val="22"/>
                <w:szCs w:val="22"/>
              </w:rPr>
              <w:t xml:space="preserve"> 国家对无劳动能力、无生活来源且无法定赡养、抚养、扶养义务人，或者其法定赡养、抚养、扶养义务人无赡养、抚养、扶养能力的老年人、残疾人以及未满16周岁的未成年人，给予特困人员供养。</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b/>
                <w:bCs/>
                <w:color w:val="auto"/>
                <w:sz w:val="22"/>
                <w:szCs w:val="22"/>
              </w:rPr>
              <w:t>第十八条</w:t>
            </w:r>
            <w:r>
              <w:rPr>
                <w:rFonts w:hint="eastAsia" w:ascii="仿宋" w:hAnsi="仿宋" w:eastAsia="仿宋" w:cs="仿宋"/>
                <w:color w:val="auto"/>
                <w:sz w:val="22"/>
                <w:szCs w:val="22"/>
              </w:rPr>
              <w:t xml:space="preserve"> 特困供养人员不再符合供养条件的，村民委员会、居民委员会或者供养服务机构应当告知乡镇人民政府、街道办事处，由乡镇人民政府、街道办事处审核并报县级人民政府民政部门核准后，终止供养并予以公示。</w:t>
            </w:r>
          </w:p>
        </w:tc>
      </w:tr>
      <w:tr>
        <w:tblPrEx>
          <w:tblLayout w:type="fixed"/>
          <w:tblCellMar>
            <w:top w:w="0" w:type="dxa"/>
            <w:left w:w="0" w:type="dxa"/>
            <w:bottom w:w="0" w:type="dxa"/>
            <w:right w:w="0" w:type="dxa"/>
          </w:tblCellMar>
        </w:tblPrEx>
        <w:trPr>
          <w:trHeight w:val="1269" w:hRule="atLeast"/>
          <w:tblCellSpacing w:w="0" w:type="dxa"/>
        </w:trPr>
        <w:tc>
          <w:tcPr>
            <w:tcW w:w="5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Style w:val="6"/>
                <w:rFonts w:hint="eastAsia" w:ascii="仿宋" w:hAnsi="仿宋" w:eastAsia="仿宋" w:cs="仿宋"/>
                <w:color w:val="auto"/>
                <w:sz w:val="21"/>
                <w:szCs w:val="21"/>
              </w:rPr>
              <w:t>2</w:t>
            </w:r>
          </w:p>
        </w:tc>
        <w:tc>
          <w:tcPr>
            <w:tcW w:w="97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申请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条件</w:t>
            </w:r>
          </w:p>
        </w:tc>
        <w:tc>
          <w:tcPr>
            <w:tcW w:w="12934"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1.依据居民委员会或供养服务机构的报告进行审核，特困供养人不再符合供养条件的报县民政局核准停止供养；</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eastAsia="仿宋"/>
                <w:color w:val="auto"/>
              </w:rPr>
            </w:pPr>
            <w:r>
              <w:rPr>
                <w:rFonts w:hint="eastAsia" w:ascii="仿宋" w:hAnsi="仿宋" w:eastAsia="仿宋" w:cs="仿宋"/>
                <w:color w:val="auto"/>
                <w:sz w:val="22"/>
                <w:szCs w:val="22"/>
              </w:rPr>
              <w:t>2.其他法律法规规章文件规定应履行的责任。</w:t>
            </w:r>
          </w:p>
        </w:tc>
      </w:tr>
      <w:tr>
        <w:tblPrEx>
          <w:tblLayout w:type="fixed"/>
          <w:tblCellMar>
            <w:top w:w="0" w:type="dxa"/>
            <w:left w:w="0" w:type="dxa"/>
            <w:bottom w:w="0" w:type="dxa"/>
            <w:right w:w="0" w:type="dxa"/>
          </w:tblCellMar>
        </w:tblPrEx>
        <w:trPr>
          <w:trHeight w:val="705" w:hRule="atLeast"/>
          <w:tblCellSpacing w:w="0" w:type="dxa"/>
        </w:trPr>
        <w:tc>
          <w:tcPr>
            <w:tcW w:w="5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Style w:val="6"/>
                <w:rFonts w:hint="eastAsia" w:ascii="仿宋" w:hAnsi="仿宋" w:eastAsia="仿宋" w:cs="仿宋"/>
                <w:color w:val="auto"/>
                <w:sz w:val="21"/>
                <w:szCs w:val="21"/>
              </w:rPr>
              <w:t>3</w:t>
            </w:r>
          </w:p>
        </w:tc>
        <w:tc>
          <w:tcPr>
            <w:tcW w:w="97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申请</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材料</w:t>
            </w:r>
          </w:p>
        </w:tc>
        <w:tc>
          <w:tcPr>
            <w:tcW w:w="12934"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color w:val="auto"/>
              </w:rPr>
            </w:pPr>
            <w:r>
              <w:rPr>
                <w:rFonts w:hint="eastAsia" w:ascii="仿宋" w:hAnsi="仿宋" w:eastAsia="仿宋" w:cs="仿宋"/>
                <w:color w:val="auto"/>
                <w:sz w:val="22"/>
                <w:szCs w:val="22"/>
              </w:rPr>
              <w:t>无</w:t>
            </w:r>
          </w:p>
        </w:tc>
      </w:tr>
      <w:tr>
        <w:tblPrEx>
          <w:tblLayout w:type="fixed"/>
          <w:tblCellMar>
            <w:top w:w="0" w:type="dxa"/>
            <w:left w:w="0" w:type="dxa"/>
            <w:bottom w:w="0" w:type="dxa"/>
            <w:right w:w="0" w:type="dxa"/>
          </w:tblCellMar>
        </w:tblPrEx>
        <w:trPr>
          <w:trHeight w:val="975" w:hRule="atLeast"/>
          <w:tblCellSpacing w:w="0" w:type="dxa"/>
        </w:trPr>
        <w:tc>
          <w:tcPr>
            <w:tcW w:w="5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Style w:val="6"/>
                <w:rFonts w:hint="eastAsia" w:ascii="仿宋" w:hAnsi="仿宋" w:eastAsia="仿宋" w:cs="仿宋"/>
                <w:color w:val="auto"/>
                <w:sz w:val="21"/>
                <w:szCs w:val="21"/>
              </w:rPr>
              <w:t>4</w:t>
            </w:r>
          </w:p>
        </w:tc>
        <w:tc>
          <w:tcPr>
            <w:tcW w:w="97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办理</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流程</w:t>
            </w:r>
          </w:p>
        </w:tc>
        <w:tc>
          <w:tcPr>
            <w:tcW w:w="12934"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numPr>
                <w:ilvl w:val="0"/>
                <w:numId w:val="4"/>
              </w:numPr>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村（居）民委员会或供养服务机构主动告知乡镇（街道）或乡镇（街道）；</w:t>
            </w:r>
          </w:p>
          <w:p>
            <w:pPr>
              <w:pStyle w:val="4"/>
              <w:keepNext w:val="0"/>
              <w:keepLines w:val="0"/>
              <w:pageBreakBefore w:val="0"/>
              <w:widowControl/>
              <w:numPr>
                <w:ilvl w:val="0"/>
                <w:numId w:val="4"/>
              </w:numPr>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rPr>
              <w:t>街道办事处、街道审核并报县级民政部门核准；</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eastAsia="仿宋"/>
                <w:color w:val="auto"/>
              </w:rPr>
            </w:pPr>
            <w:r>
              <w:rPr>
                <w:rFonts w:hint="eastAsia" w:ascii="仿宋" w:hAnsi="仿宋" w:eastAsia="仿宋" w:cs="仿宋"/>
                <w:color w:val="auto"/>
                <w:sz w:val="22"/>
                <w:szCs w:val="22"/>
              </w:rPr>
              <w:t>3.终止特困人员供养并予以公示。</w:t>
            </w:r>
          </w:p>
        </w:tc>
      </w:tr>
      <w:tr>
        <w:tblPrEx>
          <w:tblLayout w:type="fixed"/>
          <w:tblCellMar>
            <w:top w:w="0" w:type="dxa"/>
            <w:left w:w="0" w:type="dxa"/>
            <w:bottom w:w="0" w:type="dxa"/>
            <w:right w:w="0" w:type="dxa"/>
          </w:tblCellMar>
        </w:tblPrEx>
        <w:trPr>
          <w:trHeight w:val="795" w:hRule="atLeast"/>
          <w:tblCellSpacing w:w="0" w:type="dxa"/>
        </w:trPr>
        <w:tc>
          <w:tcPr>
            <w:tcW w:w="54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Style w:val="6"/>
                <w:rFonts w:hint="eastAsia" w:ascii="仿宋" w:hAnsi="仿宋" w:eastAsia="仿宋" w:cs="仿宋"/>
                <w:color w:val="auto"/>
                <w:sz w:val="21"/>
                <w:szCs w:val="21"/>
              </w:rPr>
              <w:t>5</w:t>
            </w:r>
          </w:p>
        </w:tc>
        <w:tc>
          <w:tcPr>
            <w:tcW w:w="97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完成</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color w:val="auto"/>
              </w:rPr>
            </w:pPr>
            <w:r>
              <w:rPr>
                <w:rFonts w:hint="eastAsia" w:ascii="仿宋" w:hAnsi="仿宋" w:eastAsia="仿宋" w:cs="仿宋"/>
                <w:color w:val="auto"/>
              </w:rPr>
              <w:t>时限</w:t>
            </w:r>
          </w:p>
        </w:tc>
        <w:tc>
          <w:tcPr>
            <w:tcW w:w="12934"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textAlignment w:val="auto"/>
              <w:outlineLvl w:val="9"/>
              <w:rPr>
                <w:rFonts w:hint="eastAsia" w:eastAsia="仿宋"/>
                <w:color w:val="auto"/>
              </w:rPr>
            </w:pPr>
            <w:r>
              <w:rPr>
                <w:rFonts w:hint="eastAsia" w:ascii="仿宋" w:hAnsi="仿宋" w:eastAsia="仿宋" w:cs="仿宋"/>
                <w:color w:val="auto"/>
                <w:sz w:val="22"/>
                <w:szCs w:val="22"/>
              </w:rPr>
              <w:t>1个工作日内</w:t>
            </w: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both"/>
        <w:textAlignment w:val="auto"/>
        <w:outlineLvl w:val="9"/>
        <w:rPr>
          <w:rFonts w:hint="eastAsia" w:ascii="微软雅黑" w:hAnsi="微软雅黑" w:eastAsia="微软雅黑" w:cs="微软雅黑"/>
          <w:color w:val="auto"/>
          <w:sz w:val="21"/>
          <w:szCs w:val="21"/>
        </w:rPr>
      </w:pPr>
    </w:p>
    <w:p>
      <w:pPr>
        <w:ind w:left="0" w:leftChars="0" w:firstLine="0" w:firstLineChars="0"/>
      </w:pPr>
    </w:p>
    <w:sectPr>
      <w:footerReference r:id="rId3" w:type="default"/>
      <w:pgSz w:w="16838" w:h="11906" w:orient="landscape"/>
      <w:pgMar w:top="1800" w:right="1440" w:bottom="1800" w:left="144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lvlText w:val="%1."/>
      <w:lvlJc w:val="left"/>
      <w:pPr>
        <w:tabs>
          <w:tab w:val="left" w:pos="312"/>
        </w:tabs>
      </w:pPr>
    </w:lvl>
  </w:abstractNum>
  <w:abstractNum w:abstractNumId="1">
    <w:nsid w:val="00000008"/>
    <w:multiLevelType w:val="singleLevel"/>
    <w:tmpl w:val="00000008"/>
    <w:lvl w:ilvl="0" w:tentative="0">
      <w:start w:val="1"/>
      <w:numFmt w:val="decimal"/>
      <w:suff w:val="nothing"/>
      <w:lvlText w:val="%1、"/>
      <w:lvlJc w:val="left"/>
    </w:lvl>
  </w:abstractNum>
  <w:abstractNum w:abstractNumId="2">
    <w:nsid w:val="0000000A"/>
    <w:multiLevelType w:val="singleLevel"/>
    <w:tmpl w:val="0000000A"/>
    <w:lvl w:ilvl="0" w:tentative="0">
      <w:start w:val="1"/>
      <w:numFmt w:val="decimal"/>
      <w:lvlText w:val="%1."/>
      <w:lvlJc w:val="left"/>
      <w:pPr>
        <w:tabs>
          <w:tab w:val="left" w:pos="312"/>
        </w:tabs>
      </w:pPr>
    </w:lvl>
  </w:abstractNum>
  <w:abstractNum w:abstractNumId="3">
    <w:nsid w:val="0000000F"/>
    <w:multiLevelType w:val="singleLevel"/>
    <w:tmpl w:val="0000000F"/>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629F8"/>
    <w:rsid w:val="11E61624"/>
    <w:rsid w:val="1D96222D"/>
    <w:rsid w:val="334813ED"/>
    <w:rsid w:val="42CA57D8"/>
    <w:rsid w:val="55B629F8"/>
    <w:rsid w:val="59420657"/>
    <w:rsid w:val="5AF61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652"/>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pacing w:line="240" w:lineRule="atLeast"/>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2020-10-28T06:15:00Z</dcterms:created>
  <dc:creator>Administrator</dc:creator>
  <cp:lastModifiedBy>Administrator</cp:lastModifiedBy>
  <cp:lastPrinted>2020-11-04T00:39:40Z</cp:lastPrinted>
  <dcterms:modified xsi:type="dcterms:W3CDTF">2020-11-04T01:00:00Z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