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兴仁镇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人居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环境综合整治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观摩考评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细则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为持续改善提升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兴仁镇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农村人居环境，切实发挥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观摩考评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“指挥棒”作用，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工作紧迫感和主动性，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结合兴仁镇工作实际，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制定本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细则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观摩考评</w:t>
      </w:r>
      <w:r>
        <w:rPr>
          <w:rFonts w:hint="eastAsia" w:ascii="黑体" w:hAnsi="黑体" w:eastAsia="黑体" w:cs="黑体"/>
          <w:sz w:val="32"/>
          <w:szCs w:val="32"/>
        </w:rPr>
        <w:t>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11个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宁夏环保集团城市服务有限公司中卫分公司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观摩考评安排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zh-CN"/>
        </w:rPr>
        <w:t>分别在9月底前和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10月15日前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zh-CN"/>
        </w:rPr>
        <w:t>组织全镇人居环境综合整治现场观摩考评会，观摩评促各村及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宁夏环保集团城市服务有限公司中卫分公司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zh-CN"/>
        </w:rPr>
        <w:t>工作情况。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三、观摩考评方式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观摩考评坚持现场观摩评分（60%）和各专项工作督查组评分（40%）相结合的方式进行，现场观摩评分由镇领导（50%）、村书记（30%）、包村组长（20%）分别评分并加权平均所得。成立厕所革命、垃圾清运、宣传发动、农田建设等专项工作督查组，对各村整体工作情况分别评分相加所得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、考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评</w:t>
      </w:r>
      <w:r>
        <w:rPr>
          <w:rFonts w:hint="default" w:ascii="Times New Roman" w:hAnsi="Times New Roman" w:eastAsia="黑体" w:cs="Times New Roman"/>
          <w:sz w:val="32"/>
          <w:szCs w:val="32"/>
        </w:rPr>
        <w:t>结果运用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根据评分结果，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各村观摩评促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各1名，分别奖补资金2万元、1.5万元和1万元；其他村安排相应工作资金，但根据观摩评促名次依次扣减资金500元—1000元。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对接区住房城乡建设和交通局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宁夏环保集团城市服务有限公司中卫分公司观摩考评结果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工作经费挂钩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两次考评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分值在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0分以上的全额拨付工作经费；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考评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分值在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71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—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80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分的乡镇拨付90%工作经费；考核分值在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61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—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69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分的乡镇拨付80%工作经费；考核分值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0分以下的乡镇拨付50%工作经费。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3.观摩考评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按照权重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纳入各村年度评优评先考核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先进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成效显著的村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，优先安排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基础设施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观摩考评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纳入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镇村干部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综合考核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考核结果排名靠前的村，对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包村干部、驻村干部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村干部优先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评优评先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cyZjBhZjU0ODQwNjYzNzVlMTEwMGIyNmZjOTcifQ=="/>
  </w:docVars>
  <w:rsids>
    <w:rsidRoot w:val="00000000"/>
    <w:rsid w:val="0D4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4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2022-12-09T02:55:01Z</dcterms:created>
  <dc:creator>Lenovo</dc:creator>
  <cp:lastModifiedBy>懒得不想动</cp:lastModifiedBy>
  <dcterms:modified xsi:type="dcterms:W3CDTF">2022-12-09T02:55:08Z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682F928617294AF880BBC863124445D1</vt:lpwstr>
  </property>
</Properties>
</file>