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lang w:eastAsia="zh-CN"/>
        </w:rPr>
      </w:pPr>
    </w:p>
    <w:p>
      <w:pPr>
        <w:spacing w:line="560" w:lineRule="exact"/>
        <w:jc w:val="center"/>
        <w:rPr>
          <w:rFonts w:hint="eastAsia" w:ascii="方正小标宋_GBK" w:hAnsi="方正小标宋_GBK" w:eastAsia="方正小标宋_GBK" w:cs="方正小标宋_GBK"/>
          <w:sz w:val="44"/>
          <w:szCs w:val="44"/>
          <w:lang w:eastAsia="zh-CN"/>
        </w:rPr>
      </w:pPr>
    </w:p>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中卫市沙坡头区卫生健康局</w:t>
      </w:r>
    </w:p>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行政执法主体资格</w:t>
      </w:r>
      <w:r>
        <w:rPr>
          <w:rFonts w:hint="eastAsia" w:ascii="方正小标宋_GBK" w:hAnsi="方正小标宋_GBK" w:eastAsia="方正小标宋_GBK" w:cs="方正小标宋_GBK"/>
          <w:sz w:val="44"/>
          <w:szCs w:val="44"/>
          <w:lang w:eastAsia="zh-CN"/>
        </w:rPr>
        <w:t>清单</w:t>
      </w:r>
    </w:p>
    <w:p>
      <w:pPr>
        <w:spacing w:line="560" w:lineRule="exact"/>
        <w:jc w:val="center"/>
        <w:rPr>
          <w:rFonts w:hint="eastAsia" w:ascii="楷体" w:hAnsi="楷体" w:eastAsia="楷体" w:cs="仿宋_GB2312"/>
          <w:sz w:val="32"/>
          <w:szCs w:val="32"/>
        </w:rPr>
      </w:pPr>
      <w:r>
        <w:rPr>
          <w:rFonts w:hint="eastAsia" w:ascii="楷体" w:hAnsi="楷体" w:eastAsia="楷体" w:cs="仿宋_GB2312"/>
          <w:sz w:val="32"/>
          <w:szCs w:val="32"/>
        </w:rPr>
        <w:t>（行政机关）</w:t>
      </w:r>
    </w:p>
    <w:p>
      <w:pPr>
        <w:pStyle w:val="2"/>
      </w:pPr>
    </w:p>
    <w:tbl>
      <w:tblPr>
        <w:tblStyle w:val="6"/>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024"/>
        <w:gridCol w:w="510"/>
        <w:gridCol w:w="123"/>
        <w:gridCol w:w="522"/>
        <w:gridCol w:w="675"/>
        <w:gridCol w:w="750"/>
        <w:gridCol w:w="660"/>
        <w:gridCol w:w="750"/>
        <w:gridCol w:w="56"/>
        <w:gridCol w:w="589"/>
        <w:gridCol w:w="416"/>
        <w:gridCol w:w="56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96"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单位</w:t>
            </w:r>
          </w:p>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名称</w:t>
            </w:r>
          </w:p>
        </w:tc>
        <w:tc>
          <w:tcPr>
            <w:tcW w:w="2854" w:type="dxa"/>
            <w:gridSpan w:val="5"/>
            <w:vAlign w:val="center"/>
          </w:tcPr>
          <w:p>
            <w:pPr>
              <w:spacing w:line="0" w:lineRule="atLeas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中卫市沙坡头区卫生健康局</w:t>
            </w:r>
          </w:p>
        </w:tc>
        <w:tc>
          <w:tcPr>
            <w:tcW w:w="1410" w:type="dxa"/>
            <w:gridSpan w:val="2"/>
            <w:vAlign w:val="center"/>
          </w:tcPr>
          <w:p>
            <w:pPr>
              <w:spacing w:line="0" w:lineRule="atLeast"/>
              <w:ind w:firstLine="200" w:firstLineChars="100"/>
              <w:rPr>
                <w:rFonts w:ascii="仿宋_GB2312" w:hAnsi="仿宋_GB2312" w:eastAsia="仿宋_GB2312" w:cs="仿宋_GB2312"/>
                <w:kern w:val="0"/>
                <w:sz w:val="20"/>
                <w:szCs w:val="20"/>
              </w:rPr>
            </w:pPr>
            <w:bookmarkStart w:id="0" w:name="_GoBack"/>
            <w:bookmarkEnd w:id="0"/>
            <w:r>
              <w:rPr>
                <w:rFonts w:hint="eastAsia" w:ascii="仿宋_GB2312" w:hAnsi="仿宋_GB2312" w:eastAsia="仿宋_GB2312" w:cs="仿宋_GB2312"/>
                <w:kern w:val="0"/>
                <w:sz w:val="20"/>
                <w:szCs w:val="20"/>
              </w:rPr>
              <w:t>单位地址</w:t>
            </w:r>
          </w:p>
        </w:tc>
        <w:tc>
          <w:tcPr>
            <w:tcW w:w="2940" w:type="dxa"/>
            <w:gridSpan w:val="6"/>
            <w:vAlign w:val="center"/>
          </w:tcPr>
          <w:p>
            <w:pPr>
              <w:spacing w:line="0" w:lineRule="atLeast"/>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行政新区利民街</w:t>
            </w:r>
            <w:r>
              <w:rPr>
                <w:rFonts w:hint="eastAsia" w:ascii="仿宋_GB2312" w:hAnsi="仿宋_GB2312" w:eastAsia="仿宋_GB2312" w:cs="仿宋_GB2312"/>
                <w:kern w:val="0"/>
                <w:sz w:val="20"/>
                <w:szCs w:val="20"/>
                <w:lang w:val="en-US" w:eastAsia="zh-CN"/>
              </w:rPr>
              <w:t>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496"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法定代表人</w:t>
            </w:r>
          </w:p>
        </w:tc>
        <w:tc>
          <w:tcPr>
            <w:tcW w:w="2854" w:type="dxa"/>
            <w:gridSpan w:val="5"/>
            <w:vAlign w:val="center"/>
          </w:tcPr>
          <w:p>
            <w:pPr>
              <w:spacing w:line="0" w:lineRule="atLeas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赵云成</w:t>
            </w:r>
          </w:p>
        </w:tc>
        <w:tc>
          <w:tcPr>
            <w:tcW w:w="1410" w:type="dxa"/>
            <w:gridSpan w:val="2"/>
            <w:vAlign w:val="center"/>
          </w:tcPr>
          <w:p>
            <w:pPr>
              <w:spacing w:line="0" w:lineRule="atLeas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组织机构代码证号</w:t>
            </w:r>
          </w:p>
        </w:tc>
        <w:tc>
          <w:tcPr>
            <w:tcW w:w="2940" w:type="dxa"/>
            <w:gridSpan w:val="6"/>
            <w:vAlign w:val="center"/>
          </w:tcPr>
          <w:p>
            <w:pPr>
              <w:spacing w:line="0" w:lineRule="atLeast"/>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11642300MB1557732F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96"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7204" w:type="dxa"/>
            <w:gridSpan w:val="13"/>
            <w:vAlign w:val="center"/>
          </w:tcPr>
          <w:p>
            <w:pPr>
              <w:keepNext w:val="0"/>
              <w:keepLines w:val="0"/>
              <w:pageBreakBefore w:val="0"/>
              <w:kinsoku/>
              <w:wordWrap/>
              <w:overflowPunct/>
              <w:topLinePunct w:val="0"/>
              <w:autoSpaceDE/>
              <w:autoSpaceDN/>
              <w:bidi w:val="0"/>
              <w:adjustRightInd/>
              <w:spacing w:line="200" w:lineRule="exact"/>
              <w:ind w:left="0" w:leftChars="0" w:right="0" w:rightChars="0"/>
              <w:jc w:val="both"/>
              <w:textAlignment w:val="auto"/>
              <w:outlineLvl w:val="9"/>
              <w:rPr>
                <w:sz w:val="20"/>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一）贯彻实施国民健康政策，执行国家卫生健康事业发展法律法规、政策、规划。拟订沙坡头区卫生健康和中医药事业发展规划、年度计划并组织实施。贯彻执行卫生健康和中医药方面的有关标准、技术规范和相关政策。统筹规划卫生健康资源配置，指导乡镇卫生健康规划编制和实施。推进卫生健康基本公共服务均等化、普惠化、便携化和公共资源向基层延伸等政策措施。协调推进沙坡头区医药卫生体制改革，研究提出深化医药卫生体制改革政策措施的建议。组织实施深化公立医院综合改革，推进管办分离，健全现代医院管理制度，组织实施推动卫生健康公共服务提供主体多元化、方式多样化的政策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（二）组织实施沙坡头区疾病预防控制规划、免疫规划以及危害人民健康公共卫生问题的干预措施。负责卫生应急工作，负责突发公共卫生事件的预防控制和各类突发公共事件的医疗卫生救援。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（三）组织拟订并协调落实应对人口老龄化政策措施，负责推进老年健康服务体系建设和医养结合工作。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（四）组织实施国家药物政策和国家基本药物制度，开展药品使用监测、临床综合评价和短缺药品预警，提出基本药物价格政策的建议。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（五）负责职责范围内的职业卫生监督管理，依法查处职业卫生违法违规行为。组织贯彻国家、自治区和中卫市爱国卫生政策。牵头《烟草控制框架公约》履约工作。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（六）组织实施医疗机构、医疗服务行业管理办法，建立医疗服务评价和监督管理体系。实施卫生健康专业技术人员准入和资格标准，严格落实卫生健康专业技术人员执业规则和服务规范。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（七）贯彻执行自治区、中卫市和沙坡头区中医药事业发展规划，实施鼓励社会资本举办中医医疗、保健、科研机构的政策。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（八）负责计划生育管理和服务工作，开展人口监测预警，研究提出人口与家庭发展和完善计划生育政策的建议。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（九）指导沙坡头区卫生健康工作，指导乡镇医疗卫生、妇幼健康服务和全科医生队伍建设。推进卫生健康科技创新发展。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（十）负责卫生健康宣传促进工作。组织实施卫生健康对外交流合作工作。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（十一）承担沙坡头区爱国卫生委员会办公室、老龄工作委员会办公室日常工作。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（十二）完成沙坡头区委和政府交办的其他任务。</w:t>
            </w:r>
          </w:p>
          <w:p>
            <w:pPr>
              <w:pStyle w:val="3"/>
              <w:rPr>
                <w:rFonts w:ascii="仿宋_GB2312" w:hAnsi="仿宋_GB2312" w:eastAsia="仿宋_GB2312" w:cs="仿宋_GB2312"/>
                <w:kern w:val="0"/>
                <w:sz w:val="20"/>
                <w:szCs w:val="20"/>
              </w:rPr>
            </w:pPr>
            <w:r>
              <w:rPr>
                <w:rFonts w:hint="eastAsia" w:ascii="仿宋_GB2312" w:hAnsi="仿宋_GB2312" w:eastAsia="仿宋_GB2312" w:cs="仿宋_GB2312"/>
                <w:sz w:val="20"/>
                <w:szCs w:val="20"/>
                <w:vertAlign w:val="baseline"/>
                <w:lang w:val="en-US" w:eastAsia="zh-CN"/>
              </w:rPr>
              <w:t>（十三）职能转变。卫生健康局应当牢固树立大卫生、大健康理念，推动实施健康沙坡头区，以改革创新为动力，以促健康、转模式、强基层、重保障为着力点，把以治病为中心转变为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496" w:type="dxa"/>
            <w:vMerge w:val="restart"/>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内设机构</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情况</w:t>
            </w:r>
          </w:p>
        </w:tc>
        <w:tc>
          <w:tcPr>
            <w:tcW w:w="1657" w:type="dxa"/>
            <w:gridSpan w:val="3"/>
            <w:tcBorders>
              <w:left w:val="single" w:color="auto" w:sz="4" w:space="0"/>
            </w:tcBorders>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机构</w:t>
            </w:r>
          </w:p>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名称</w:t>
            </w:r>
          </w:p>
        </w:tc>
        <w:tc>
          <w:tcPr>
            <w:tcW w:w="3413" w:type="dxa"/>
            <w:gridSpan w:val="6"/>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主要职责</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负责人</w:t>
            </w:r>
          </w:p>
        </w:tc>
        <w:tc>
          <w:tcPr>
            <w:tcW w:w="1129" w:type="dxa"/>
            <w:gridSpan w:val="2"/>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496" w:type="dxa"/>
            <w:vMerge w:val="continue"/>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p>
        </w:tc>
        <w:tc>
          <w:tcPr>
            <w:tcW w:w="1657" w:type="dxa"/>
            <w:gridSpan w:val="3"/>
            <w:tcBorders>
              <w:left w:val="single" w:color="auto" w:sz="4" w:space="0"/>
            </w:tcBorders>
            <w:vAlign w:val="center"/>
          </w:tcPr>
          <w:p>
            <w:pPr>
              <w:spacing w:line="0" w:lineRule="atLeas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无</w:t>
            </w:r>
          </w:p>
        </w:tc>
        <w:tc>
          <w:tcPr>
            <w:tcW w:w="3413" w:type="dxa"/>
            <w:gridSpan w:val="6"/>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kern w:val="0"/>
                <w:sz w:val="20"/>
                <w:szCs w:val="20"/>
                <w:lang w:eastAsia="zh-CN"/>
              </w:rPr>
            </w:pPr>
          </w:p>
        </w:tc>
        <w:tc>
          <w:tcPr>
            <w:tcW w:w="1005" w:type="dxa"/>
            <w:gridSpan w:val="2"/>
            <w:vAlign w:val="center"/>
          </w:tcPr>
          <w:p>
            <w:pPr>
              <w:spacing w:line="0" w:lineRule="atLeast"/>
              <w:jc w:val="center"/>
              <w:rPr>
                <w:rFonts w:hint="eastAsia" w:ascii="仿宋_GB2312" w:hAnsi="仿宋_GB2312" w:eastAsia="仿宋_GB2312" w:cs="仿宋_GB2312"/>
                <w:kern w:val="0"/>
                <w:sz w:val="20"/>
                <w:szCs w:val="20"/>
                <w:lang w:eastAsia="zh-CN"/>
              </w:rPr>
            </w:pPr>
          </w:p>
        </w:tc>
        <w:tc>
          <w:tcPr>
            <w:tcW w:w="1129" w:type="dxa"/>
            <w:gridSpan w:val="2"/>
            <w:vAlign w:val="center"/>
          </w:tcPr>
          <w:p>
            <w:pPr>
              <w:spacing w:line="0" w:lineRule="atLeast"/>
              <w:jc w:val="center"/>
              <w:rPr>
                <w:rFonts w:hint="default"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496" w:type="dxa"/>
            <w:vMerge w:val="continue"/>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p>
        </w:tc>
        <w:tc>
          <w:tcPr>
            <w:tcW w:w="1657" w:type="dxa"/>
            <w:gridSpan w:val="3"/>
            <w:tcBorders>
              <w:left w:val="single" w:color="auto" w:sz="4" w:space="0"/>
            </w:tcBorders>
            <w:vAlign w:val="center"/>
          </w:tcPr>
          <w:p>
            <w:pPr>
              <w:spacing w:line="0" w:lineRule="atLeast"/>
              <w:jc w:val="center"/>
              <w:rPr>
                <w:rFonts w:hint="eastAsia" w:ascii="仿宋_GB2312" w:hAnsi="仿宋_GB2312" w:eastAsia="仿宋_GB2312" w:cs="仿宋_GB2312"/>
                <w:kern w:val="0"/>
                <w:sz w:val="20"/>
                <w:szCs w:val="20"/>
                <w:lang w:eastAsia="zh-CN"/>
              </w:rPr>
            </w:pPr>
          </w:p>
        </w:tc>
        <w:tc>
          <w:tcPr>
            <w:tcW w:w="3413" w:type="dxa"/>
            <w:gridSpan w:val="6"/>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eastAsia="zh-CN"/>
              </w:rPr>
            </w:pPr>
          </w:p>
        </w:tc>
        <w:tc>
          <w:tcPr>
            <w:tcW w:w="1005" w:type="dxa"/>
            <w:gridSpan w:val="2"/>
            <w:vAlign w:val="center"/>
          </w:tcPr>
          <w:p>
            <w:pPr>
              <w:spacing w:line="0" w:lineRule="atLeast"/>
              <w:jc w:val="center"/>
              <w:rPr>
                <w:rFonts w:hint="eastAsia" w:ascii="仿宋_GB2312" w:hAnsi="仿宋_GB2312" w:eastAsia="仿宋_GB2312" w:cs="仿宋_GB2312"/>
                <w:kern w:val="0"/>
                <w:sz w:val="20"/>
                <w:szCs w:val="20"/>
                <w:lang w:eastAsia="zh-CN"/>
              </w:rPr>
            </w:pPr>
          </w:p>
        </w:tc>
        <w:tc>
          <w:tcPr>
            <w:tcW w:w="1129" w:type="dxa"/>
            <w:gridSpan w:val="2"/>
            <w:vAlign w:val="center"/>
          </w:tcPr>
          <w:p>
            <w:pPr>
              <w:spacing w:line="0" w:lineRule="atLeast"/>
              <w:jc w:val="both"/>
              <w:rPr>
                <w:rFonts w:hint="default"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496"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657" w:type="dxa"/>
            <w:gridSpan w:val="3"/>
            <w:vAlign w:val="center"/>
          </w:tcPr>
          <w:p>
            <w:pPr>
              <w:spacing w:line="0" w:lineRule="atLeast"/>
              <w:jc w:val="both"/>
              <w:rPr>
                <w:rFonts w:hint="eastAsia" w:ascii="仿宋_GB2312" w:hAnsi="仿宋_GB2312" w:eastAsia="仿宋_GB2312" w:cs="仿宋_GB2312"/>
                <w:kern w:val="0"/>
                <w:sz w:val="20"/>
                <w:szCs w:val="20"/>
                <w:lang w:val="en-US" w:eastAsia="zh-CN"/>
              </w:rPr>
            </w:pPr>
          </w:p>
        </w:tc>
        <w:tc>
          <w:tcPr>
            <w:tcW w:w="3413" w:type="dxa"/>
            <w:gridSpan w:val="6"/>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eastAsia="zh-CN"/>
              </w:rPr>
            </w:pPr>
          </w:p>
        </w:tc>
        <w:tc>
          <w:tcPr>
            <w:tcW w:w="1005" w:type="dxa"/>
            <w:gridSpan w:val="2"/>
            <w:vAlign w:val="center"/>
          </w:tcPr>
          <w:p>
            <w:pPr>
              <w:spacing w:line="0" w:lineRule="atLeast"/>
              <w:jc w:val="center"/>
              <w:rPr>
                <w:rFonts w:hint="eastAsia" w:ascii="仿宋_GB2312" w:hAnsi="仿宋_GB2312" w:eastAsia="仿宋_GB2312" w:cs="仿宋_GB2312"/>
                <w:kern w:val="0"/>
                <w:sz w:val="20"/>
                <w:szCs w:val="20"/>
                <w:lang w:eastAsia="zh-CN"/>
              </w:rPr>
            </w:pPr>
          </w:p>
        </w:tc>
        <w:tc>
          <w:tcPr>
            <w:tcW w:w="1129" w:type="dxa"/>
            <w:gridSpan w:val="2"/>
            <w:vAlign w:val="center"/>
          </w:tcPr>
          <w:p>
            <w:pPr>
              <w:spacing w:line="0" w:lineRule="atLeast"/>
              <w:jc w:val="both"/>
              <w:rPr>
                <w:rFonts w:hint="default"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496"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657" w:type="dxa"/>
            <w:gridSpan w:val="3"/>
            <w:vAlign w:val="center"/>
          </w:tcPr>
          <w:p>
            <w:pPr>
              <w:spacing w:line="0" w:lineRule="atLeast"/>
              <w:jc w:val="center"/>
              <w:rPr>
                <w:rFonts w:hint="eastAsia" w:ascii="仿宋_GB2312" w:hAnsi="仿宋_GB2312" w:eastAsia="仿宋_GB2312" w:cs="仿宋_GB2312"/>
                <w:kern w:val="0"/>
                <w:sz w:val="20"/>
                <w:szCs w:val="20"/>
                <w:lang w:val="en-US" w:eastAsia="zh-CN"/>
              </w:rPr>
            </w:pPr>
          </w:p>
        </w:tc>
        <w:tc>
          <w:tcPr>
            <w:tcW w:w="3413" w:type="dxa"/>
            <w:gridSpan w:val="6"/>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eastAsia="zh-CN"/>
              </w:rPr>
            </w:pPr>
          </w:p>
        </w:tc>
        <w:tc>
          <w:tcPr>
            <w:tcW w:w="1005" w:type="dxa"/>
            <w:gridSpan w:val="2"/>
            <w:vAlign w:val="center"/>
          </w:tcPr>
          <w:p>
            <w:pPr>
              <w:spacing w:line="0" w:lineRule="atLeast"/>
              <w:jc w:val="center"/>
              <w:rPr>
                <w:rFonts w:hint="eastAsia" w:ascii="仿宋_GB2312" w:hAnsi="仿宋_GB2312" w:eastAsia="仿宋_GB2312" w:cs="仿宋_GB2312"/>
                <w:kern w:val="0"/>
                <w:sz w:val="20"/>
                <w:szCs w:val="20"/>
                <w:lang w:eastAsia="zh-CN"/>
              </w:rPr>
            </w:pPr>
          </w:p>
        </w:tc>
        <w:tc>
          <w:tcPr>
            <w:tcW w:w="1129" w:type="dxa"/>
            <w:gridSpan w:val="2"/>
            <w:vAlign w:val="center"/>
          </w:tcPr>
          <w:p>
            <w:pPr>
              <w:spacing w:line="0" w:lineRule="atLeast"/>
              <w:jc w:val="center"/>
              <w:rPr>
                <w:rFonts w:hint="default"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496"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主要承担法制业务的科室</w:t>
            </w:r>
          </w:p>
        </w:tc>
        <w:tc>
          <w:tcPr>
            <w:tcW w:w="7204" w:type="dxa"/>
            <w:gridSpan w:val="13"/>
            <w:vAlign w:val="center"/>
          </w:tcPr>
          <w:p>
            <w:pPr>
              <w:spacing w:line="0" w:lineRule="atLeas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综合业务室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496" w:type="dxa"/>
            <w:vMerge w:val="restart"/>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类型</w:t>
            </w:r>
          </w:p>
        </w:tc>
        <w:tc>
          <w:tcPr>
            <w:tcW w:w="1024"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w:t>
            </w:r>
          </w:p>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许可</w:t>
            </w:r>
          </w:p>
        </w:tc>
        <w:tc>
          <w:tcPr>
            <w:tcW w:w="510"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645" w:type="dxa"/>
            <w:gridSpan w:val="2"/>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行政裁决</w:t>
            </w:r>
          </w:p>
        </w:tc>
        <w:tc>
          <w:tcPr>
            <w:tcW w:w="675"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750"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w:t>
            </w:r>
          </w:p>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收费</w:t>
            </w:r>
          </w:p>
        </w:tc>
        <w:tc>
          <w:tcPr>
            <w:tcW w:w="660" w:type="dxa"/>
            <w:vAlign w:val="center"/>
          </w:tcPr>
          <w:p>
            <w:pPr>
              <w:spacing w:line="0" w:lineRule="atLeast"/>
              <w:jc w:val="center"/>
              <w:rPr>
                <w:rFonts w:ascii="仿宋_GB2312" w:hAnsi="仿宋_GB2312" w:eastAsia="仿宋_GB2312" w:cs="仿宋_GB2312"/>
                <w:kern w:val="0"/>
                <w:sz w:val="20"/>
                <w:szCs w:val="20"/>
              </w:rPr>
            </w:pPr>
          </w:p>
        </w:tc>
        <w:tc>
          <w:tcPr>
            <w:tcW w:w="750"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w:t>
            </w:r>
          </w:p>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征收</w:t>
            </w:r>
          </w:p>
        </w:tc>
        <w:tc>
          <w:tcPr>
            <w:tcW w:w="645" w:type="dxa"/>
            <w:gridSpan w:val="2"/>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78" w:type="dxa"/>
            <w:gridSpan w:val="2"/>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w:t>
            </w:r>
          </w:p>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确认</w:t>
            </w:r>
          </w:p>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（登记）</w:t>
            </w:r>
          </w:p>
        </w:tc>
        <w:tc>
          <w:tcPr>
            <w:tcW w:w="567"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6" w:type="dxa"/>
            <w:vMerge w:val="continue"/>
            <w:vAlign w:val="center"/>
          </w:tcPr>
          <w:p>
            <w:pPr>
              <w:spacing w:line="0" w:lineRule="atLeast"/>
              <w:rPr>
                <w:rFonts w:ascii="仿宋_GB2312" w:hAnsi="仿宋_GB2312" w:eastAsia="仿宋_GB2312" w:cs="仿宋_GB2312"/>
                <w:kern w:val="0"/>
                <w:sz w:val="20"/>
                <w:szCs w:val="21"/>
              </w:rPr>
            </w:pPr>
          </w:p>
        </w:tc>
        <w:tc>
          <w:tcPr>
            <w:tcW w:w="1024"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w:t>
            </w:r>
          </w:p>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强制</w:t>
            </w:r>
          </w:p>
        </w:tc>
        <w:tc>
          <w:tcPr>
            <w:tcW w:w="510"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645" w:type="dxa"/>
            <w:gridSpan w:val="2"/>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675"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750"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w:t>
            </w:r>
          </w:p>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处罚</w:t>
            </w:r>
          </w:p>
        </w:tc>
        <w:tc>
          <w:tcPr>
            <w:tcW w:w="660"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750"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w:t>
            </w:r>
          </w:p>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给付</w:t>
            </w:r>
          </w:p>
        </w:tc>
        <w:tc>
          <w:tcPr>
            <w:tcW w:w="645" w:type="dxa"/>
            <w:gridSpan w:val="2"/>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78" w:type="dxa"/>
            <w:gridSpan w:val="2"/>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w:t>
            </w:r>
          </w:p>
        </w:tc>
        <w:tc>
          <w:tcPr>
            <w:tcW w:w="567" w:type="dxa"/>
            <w:vAlign w:val="center"/>
          </w:tcPr>
          <w:p>
            <w:pPr>
              <w:spacing w:line="0" w:lineRule="atLeas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1496"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依据（法律法规、地方性法规、政府规章、规范性文件）</w:t>
            </w:r>
          </w:p>
        </w:tc>
        <w:tc>
          <w:tcPr>
            <w:tcW w:w="7204" w:type="dxa"/>
            <w:gridSpan w:val="13"/>
            <w:vAlign w:val="center"/>
          </w:tcPr>
          <w:p>
            <w:pPr>
              <w:widowControl/>
              <w:adjustRightInd w:val="0"/>
              <w:snapToGrid w:val="0"/>
              <w:spacing w:line="260" w:lineRule="exact"/>
              <w:ind w:firstLine="400" w:firstLineChars="200"/>
              <w:rPr>
                <w:rFonts w:hint="eastAsia" w:ascii="仿宋_GB2312" w:hAnsi="仿宋_GB2312" w:eastAsia="仿宋_GB2312" w:cs="仿宋_GB2312"/>
                <w:kern w:val="0"/>
                <w:sz w:val="20"/>
                <w:szCs w:val="20"/>
              </w:rPr>
            </w:pPr>
          </w:p>
          <w:p>
            <w:pPr>
              <w:widowControl/>
              <w:adjustRightInd w:val="0"/>
              <w:snapToGrid w:val="0"/>
              <w:spacing w:line="260" w:lineRule="exact"/>
              <w:ind w:firstLine="400" w:firstLineChars="200"/>
              <w:rPr>
                <w:rFonts w:hint="eastAsia" w:ascii="仿宋_GB2312" w:hAnsi="仿宋_GB2312" w:eastAsia="仿宋_GB2312" w:cs="仿宋_GB2312"/>
                <w:kern w:val="0"/>
                <w:sz w:val="20"/>
                <w:szCs w:val="20"/>
              </w:rPr>
            </w:pPr>
          </w:p>
          <w:p>
            <w:pPr>
              <w:widowControl/>
              <w:adjustRightInd w:val="0"/>
              <w:snapToGrid w:val="0"/>
              <w:spacing w:line="26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《中华人民共和国母婴保健法》《中华人民共和国职业病防治法》《医疗废物管理条例》《中华人民共和国传染病防治法》《医疗机构管理条例》</w:t>
            </w:r>
            <w:r>
              <w:rPr>
                <w:rFonts w:hint="eastAsia" w:ascii="仿宋_GB2312" w:hAnsi="仿宋_GB2312" w:eastAsia="仿宋_GB2312" w:cs="仿宋_GB2312"/>
                <w:color w:val="000000"/>
                <w:sz w:val="20"/>
                <w:szCs w:val="20"/>
                <w:lang w:eastAsia="zh-CN"/>
              </w:rPr>
              <w:t>《中华人民共和国人口与计划生育法》</w:t>
            </w:r>
            <w:r>
              <w:rPr>
                <w:rFonts w:hint="eastAsia" w:ascii="仿宋_GB2312" w:hAnsi="仿宋_GB2312" w:eastAsia="仿宋_GB2312" w:cs="仿宋_GB2312"/>
                <w:sz w:val="20"/>
                <w:szCs w:val="20"/>
              </w:rPr>
              <w:t>《计划生育技术服务管理条例》</w:t>
            </w:r>
            <w:r>
              <w:rPr>
                <w:rFonts w:hint="eastAsia" w:ascii="仿宋_GB2312" w:hAnsi="仿宋_GB2312" w:eastAsia="仿宋_GB2312" w:cs="仿宋_GB2312"/>
                <w:kern w:val="0"/>
                <w:sz w:val="20"/>
                <w:szCs w:val="20"/>
              </w:rPr>
              <w:t>《宁夏回族自治区人口与计划生育条例》（2016年修正）《计划生育技术服务管理条例实施细则》《中华人民共和国执业医师法》《护士条例》《消毒管理办法》</w:t>
            </w:r>
          </w:p>
          <w:p>
            <w:pPr>
              <w:widowControl/>
              <w:snapToGrid w:val="0"/>
              <w:spacing w:line="260" w:lineRule="exact"/>
              <w:ind w:firstLine="400" w:firstLineChars="200"/>
              <w:rPr>
                <w:kern w:val="0"/>
                <w:sz w:val="20"/>
                <w:szCs w:val="20"/>
              </w:rPr>
            </w:pPr>
          </w:p>
          <w:p>
            <w:pPr>
              <w:spacing w:line="0" w:lineRule="atLeast"/>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1496"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监督机构及电话</w:t>
            </w:r>
          </w:p>
        </w:tc>
        <w:tc>
          <w:tcPr>
            <w:tcW w:w="7204" w:type="dxa"/>
            <w:gridSpan w:val="13"/>
            <w:vAlign w:val="center"/>
          </w:tcPr>
          <w:p>
            <w:pPr>
              <w:spacing w:line="0" w:lineRule="atLeast"/>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综合业务室</w:t>
            </w:r>
            <w:r>
              <w:rPr>
                <w:rFonts w:hint="eastAsia" w:ascii="仿宋_GB2312" w:hAnsi="仿宋_GB2312" w:eastAsia="仿宋_GB2312" w:cs="仿宋_GB2312"/>
                <w:kern w:val="0"/>
                <w:sz w:val="20"/>
                <w:szCs w:val="21"/>
                <w:lang w:val="en-US" w:eastAsia="zh-CN"/>
              </w:rPr>
              <w:t xml:space="preserve"> 0955-7988665</w:t>
            </w:r>
          </w:p>
        </w:tc>
      </w:tr>
    </w:tbl>
    <w:p>
      <w:pPr>
        <w:spacing w:line="560" w:lineRule="exact"/>
        <w:sectPr>
          <w:pgSz w:w="11906" w:h="16838"/>
          <w:pgMar w:top="1985" w:right="1474" w:bottom="1758" w:left="1588" w:header="851" w:footer="992" w:gutter="0"/>
          <w:cols w:space="425" w:num="1"/>
          <w:docGrid w:type="lines" w:linePitch="312" w:charSpace="0"/>
        </w:sectPr>
      </w:pPr>
    </w:p>
    <w:p>
      <w:pPr>
        <w:jc w:val="left"/>
        <w:rPr>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B744D"/>
    <w:rsid w:val="0160049A"/>
    <w:rsid w:val="0201686D"/>
    <w:rsid w:val="05933064"/>
    <w:rsid w:val="07AC076F"/>
    <w:rsid w:val="08926C98"/>
    <w:rsid w:val="0BE40B34"/>
    <w:rsid w:val="0C1831C0"/>
    <w:rsid w:val="0CDB08A9"/>
    <w:rsid w:val="0CE1369A"/>
    <w:rsid w:val="0D9C19F0"/>
    <w:rsid w:val="0FF13C6F"/>
    <w:rsid w:val="144E4B4A"/>
    <w:rsid w:val="158B744D"/>
    <w:rsid w:val="1897360D"/>
    <w:rsid w:val="1C687173"/>
    <w:rsid w:val="21F61193"/>
    <w:rsid w:val="23196CCA"/>
    <w:rsid w:val="25A919E0"/>
    <w:rsid w:val="26AF3582"/>
    <w:rsid w:val="26BC50F3"/>
    <w:rsid w:val="272D49C2"/>
    <w:rsid w:val="28551BF9"/>
    <w:rsid w:val="292965D9"/>
    <w:rsid w:val="2A9E6CE6"/>
    <w:rsid w:val="2BB31A3C"/>
    <w:rsid w:val="2D043A05"/>
    <w:rsid w:val="2E2342C5"/>
    <w:rsid w:val="2E2606F1"/>
    <w:rsid w:val="337F3820"/>
    <w:rsid w:val="33A92A44"/>
    <w:rsid w:val="344F4BCD"/>
    <w:rsid w:val="345D3D37"/>
    <w:rsid w:val="34A167DA"/>
    <w:rsid w:val="37F7077C"/>
    <w:rsid w:val="383D088C"/>
    <w:rsid w:val="38B87DBC"/>
    <w:rsid w:val="39173419"/>
    <w:rsid w:val="399E077A"/>
    <w:rsid w:val="399E0A29"/>
    <w:rsid w:val="3A6C4F15"/>
    <w:rsid w:val="3C57036B"/>
    <w:rsid w:val="3C9644D5"/>
    <w:rsid w:val="3D7A1AF9"/>
    <w:rsid w:val="3EF72CFE"/>
    <w:rsid w:val="424118C3"/>
    <w:rsid w:val="42E84C86"/>
    <w:rsid w:val="43610C84"/>
    <w:rsid w:val="47432B6E"/>
    <w:rsid w:val="48CF40AB"/>
    <w:rsid w:val="48D908BF"/>
    <w:rsid w:val="4B4E65EF"/>
    <w:rsid w:val="4E0660F6"/>
    <w:rsid w:val="4EF24294"/>
    <w:rsid w:val="508571C2"/>
    <w:rsid w:val="5128218C"/>
    <w:rsid w:val="54303E18"/>
    <w:rsid w:val="547B399B"/>
    <w:rsid w:val="54D0032A"/>
    <w:rsid w:val="550A1EB8"/>
    <w:rsid w:val="569469C4"/>
    <w:rsid w:val="56D912BA"/>
    <w:rsid w:val="57DC7E94"/>
    <w:rsid w:val="57E2448D"/>
    <w:rsid w:val="5A1050CB"/>
    <w:rsid w:val="5A6E347B"/>
    <w:rsid w:val="5B463B42"/>
    <w:rsid w:val="5DF03098"/>
    <w:rsid w:val="5F3B3E40"/>
    <w:rsid w:val="608D07A2"/>
    <w:rsid w:val="623C746A"/>
    <w:rsid w:val="62EF615A"/>
    <w:rsid w:val="631C3BD0"/>
    <w:rsid w:val="65555DF2"/>
    <w:rsid w:val="65706ACF"/>
    <w:rsid w:val="657133F7"/>
    <w:rsid w:val="670E39C9"/>
    <w:rsid w:val="69964D67"/>
    <w:rsid w:val="6ABD00A1"/>
    <w:rsid w:val="6CBF1A0B"/>
    <w:rsid w:val="6D720206"/>
    <w:rsid w:val="6DA62C6D"/>
    <w:rsid w:val="70F06CD9"/>
    <w:rsid w:val="7114730C"/>
    <w:rsid w:val="733E4E22"/>
    <w:rsid w:val="76277398"/>
    <w:rsid w:val="768E083D"/>
    <w:rsid w:val="77B53DAD"/>
    <w:rsid w:val="78566B0F"/>
    <w:rsid w:val="78815012"/>
    <w:rsid w:val="78C57045"/>
    <w:rsid w:val="790E2F1C"/>
    <w:rsid w:val="797F15C6"/>
    <w:rsid w:val="799F0278"/>
    <w:rsid w:val="7DE61E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宋体" w:hAnsi="宋体" w:cs="宋体"/>
      <w:kern w:val="0"/>
      <w:sz w:val="24"/>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2017-05-01T12:05:00Z</dcterms:created>
  <dc:creator>匿名用户</dc:creator>
  <cp:lastModifiedBy>淡然</cp:lastModifiedBy>
  <dcterms:modified xsi:type="dcterms:W3CDTF">2019-09-03T09:27:04Z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