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2025年度中卫市沙坡头区卫生健康局随机抽查事项清单</w:t>
      </w:r>
    </w:p>
    <w:bookmarkEnd w:id="0"/>
    <w:tbl>
      <w:tblPr>
        <w:tblStyle w:val="5"/>
        <w:tblpPr w:leftFromText="180" w:rightFromText="180" w:vertAnchor="page" w:horzAnchor="page" w:tblpX="1261" w:tblpY="3478"/>
        <w:tblOverlap w:val="never"/>
        <w:tblW w:w="14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733"/>
        <w:gridCol w:w="1668"/>
        <w:gridCol w:w="1932"/>
        <w:gridCol w:w="1344"/>
        <w:gridCol w:w="1368"/>
        <w:gridCol w:w="1405"/>
        <w:gridCol w:w="3618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组织实施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医疗卫生机构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医疗卫生机构许可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医疗卫生机构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一般检查事项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现场检查书面检查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中卫市沙坡头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区卫生健康局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《中华人民共和国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医师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法》《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医疗机构管理条例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》《中华人民共和国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基本医疗卫生与健康促进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法》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医疗卫生机构卫生标准、卫生规范和执业行为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医疗卫生机构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一般检查事项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现场检查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书面检查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中卫市沙坡头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区卫生健康局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医师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法》《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医疗机构管理条例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》《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基本医疗卫生与健康促进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法》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传染病防治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传染病防治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基层医疗机构（社区卫生服务站、诊所、村卫生室、乡镇卫生院等）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一般检查事项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现场检查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书面检查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中卫市沙坡头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区卫生健康局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传染病防治法》《医疗废物管理条例》《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疫苗管理法》《病原微生物实验室生物安全管理条例》《消毒管理办法》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F6BE0"/>
    <w:rsid w:val="5CF8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after="120"/>
      <w:ind w:firstLine="420" w:firstLineChars="100"/>
      <w:jc w:val="both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2025-08-01T16:50:00Z</dcterms:created>
  <dc:creator>Lenovo</dc:creator>
  <cp:lastModifiedBy>uos</cp:lastModifiedBy>
  <dcterms:modified xsi:type="dcterms:W3CDTF">2025-08-21T10:52:43Z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KSOTemplateDocerSaveRecord">
    <vt:lpwstr>eyJoZGlkIjoiM2E4OWZkODg0Y2FkMzI2Njc4OTExZDIwMGJjZDUxNjUiLCJ1c2VySWQiOiI2NTQyOTczNjMifQ==</vt:lpwstr>
  </property>
  <property fmtid="{D5CDD505-2E9C-101B-9397-08002B2CF9AE}" pid="4" name="ICV">
    <vt:lpwstr>E4BCE0FE180325B1FB89A668AE169BCF_43</vt:lpwstr>
  </property>
</Properties>
</file>