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0" w:rightChars="0"/>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附件4：</w:t>
      </w:r>
    </w:p>
    <w:p>
      <w:pPr>
        <w:pStyle w:val="4"/>
        <w:keepNext w:val="0"/>
        <w:keepLines w:val="0"/>
        <w:pageBreakBefore w:val="0"/>
        <w:kinsoku/>
        <w:wordWrap/>
        <w:overflowPunct/>
        <w:topLinePunct w:val="0"/>
        <w:autoSpaceDE/>
        <w:autoSpaceDN/>
        <w:bidi w:val="0"/>
        <w:adjustRightInd/>
        <w:snapToGrid/>
        <w:spacing w:line="580" w:lineRule="exact"/>
        <w:ind w:left="0" w:leftChars="0" w:firstLine="0" w:firstLineChars="0"/>
        <w:jc w:val="center"/>
        <w:rPr>
          <w:rFonts w:hint="default" w:ascii="Times New Roman" w:hAnsi="Times New Roman" w:eastAsia="方正小标宋_GBK" w:cs="Times New Roman"/>
          <w:color w:val="000000"/>
          <w:kern w:val="2"/>
          <w:sz w:val="44"/>
          <w:szCs w:val="44"/>
          <w:highlight w:val="none"/>
          <w:vertAlign w:val="baseline"/>
          <w:lang w:val="en-US" w:eastAsia="zh-CN" w:bidi="ar-SA"/>
        </w:rPr>
      </w:pPr>
      <w:r>
        <w:rPr>
          <w:rFonts w:hint="eastAsia" w:eastAsia="方正小标宋_GBK" w:cs="Times New Roman"/>
          <w:color w:val="000000"/>
          <w:kern w:val="2"/>
          <w:sz w:val="44"/>
          <w:szCs w:val="44"/>
          <w:highlight w:val="none"/>
          <w:lang w:val="en-US" w:eastAsia="zh-CN" w:bidi="ar-SA"/>
        </w:rPr>
        <w:t>沙坡头区</w:t>
      </w:r>
      <w:bookmarkStart w:id="0" w:name="_GoBack"/>
      <w:bookmarkEnd w:id="0"/>
      <w:r>
        <w:rPr>
          <w:rFonts w:hint="default" w:ascii="Times New Roman" w:hAnsi="Times New Roman" w:eastAsia="方正小标宋_GBK" w:cs="Times New Roman"/>
          <w:color w:val="000000"/>
          <w:kern w:val="2"/>
          <w:sz w:val="44"/>
          <w:szCs w:val="44"/>
          <w:highlight w:val="none"/>
          <w:lang w:val="en-US" w:eastAsia="zh-CN" w:bidi="ar-SA"/>
        </w:rPr>
        <w:t>卫生健康系统规范化管理工作考核细则</w:t>
      </w:r>
      <w:r>
        <w:rPr>
          <w:rFonts w:hint="default" w:ascii="Times New Roman" w:hAnsi="Times New Roman" w:eastAsia="楷体" w:cs="Times New Roman"/>
          <w:b w:val="0"/>
          <w:bCs w:val="0"/>
          <w:color w:val="000000"/>
          <w:kern w:val="2"/>
          <w:sz w:val="44"/>
          <w:szCs w:val="44"/>
          <w:highlight w:val="none"/>
          <w:lang w:val="en-US" w:eastAsia="zh-CN" w:bidi="ar-SA"/>
        </w:rPr>
        <w:t>（基层医疗卫生机构）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00"/>
        <w:gridCol w:w="6400"/>
        <w:gridCol w:w="518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序号</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both"/>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类别</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规范化管理任务</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指标计算及说明</w:t>
            </w:r>
          </w:p>
        </w:tc>
        <w:tc>
          <w:tcPr>
            <w:tcW w:w="79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分值</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（总计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1</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lang w:val="en-US" w:eastAsia="zh-CN" w:bidi="ar-SA"/>
              </w:rPr>
            </w:pPr>
            <w:r>
              <w:rPr>
                <w:rFonts w:hint="default" w:ascii="Times New Roman" w:hAnsi="Times New Roman" w:eastAsia="黑体" w:cs="Times New Roman"/>
                <w:b w:val="0"/>
                <w:bCs w:val="0"/>
                <w:color w:val="000000"/>
                <w:kern w:val="2"/>
                <w:sz w:val="15"/>
                <w:szCs w:val="15"/>
                <w:highlight w:val="none"/>
                <w:lang w:val="en-US" w:eastAsia="zh-CN" w:bidi="ar-SA"/>
              </w:rPr>
              <w:t>坚持党的全面领导</w:t>
            </w:r>
          </w:p>
        </w:tc>
        <w:tc>
          <w:tcPr>
            <w:tcW w:w="6400"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1.坚持党支部按期换届制度。</w:t>
            </w:r>
          </w:p>
          <w:p>
            <w:pPr>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2..定期召开支部党员大会、支部委员会、党小组会，深入开展习近平新时代中国特色社会主义思想的宣传教育，建立常态化政治理论学习制度。</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cs="Times New Roman"/>
                <w:color w:val="000000"/>
                <w:kern w:val="2"/>
                <w:sz w:val="15"/>
                <w:szCs w:val="15"/>
                <w:highlight w:val="none"/>
                <w:lang w:val="en-US" w:eastAsia="zh-CN" w:bidi="ar-SA"/>
              </w:rPr>
              <w:t>3.</w:t>
            </w:r>
            <w:r>
              <w:rPr>
                <w:rFonts w:hint="default" w:ascii="Times New Roman" w:hAnsi="Times New Roman" w:eastAsia="宋体" w:cs="Times New Roman"/>
                <w:color w:val="000000"/>
                <w:kern w:val="2"/>
                <w:sz w:val="15"/>
                <w:szCs w:val="15"/>
                <w:highlight w:val="none"/>
                <w:lang w:val="en-US" w:eastAsia="zh-CN" w:bidi="ar-SA"/>
              </w:rPr>
              <w:t>建立健全党务工作机构，确定专职党务工作人员。</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cs="Times New Roman"/>
                <w:color w:val="000000"/>
                <w:kern w:val="2"/>
                <w:sz w:val="15"/>
                <w:szCs w:val="15"/>
                <w:highlight w:val="none"/>
                <w:lang w:val="en-US" w:eastAsia="zh-CN" w:bidi="ar-SA"/>
              </w:rPr>
              <w:t>4.</w:t>
            </w:r>
            <w:r>
              <w:rPr>
                <w:rFonts w:hint="default" w:ascii="Times New Roman" w:hAnsi="Times New Roman" w:eastAsia="宋体" w:cs="Times New Roman"/>
                <w:color w:val="000000"/>
                <w:kern w:val="2"/>
                <w:sz w:val="15"/>
                <w:szCs w:val="15"/>
                <w:highlight w:val="none"/>
                <w:lang w:val="en-US" w:eastAsia="zh-CN" w:bidi="ar-SA"/>
              </w:rPr>
              <w:t>将党建工作经费列入各单位年度经费预算，有固定党员活动场所。</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一项落实不好扣1.6分。</w:t>
            </w:r>
          </w:p>
        </w:tc>
        <w:tc>
          <w:tcPr>
            <w:tcW w:w="79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2</w:t>
            </w: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lang w:val="en-US" w:eastAsia="zh-CN" w:bidi="ar-SA"/>
              </w:rPr>
            </w:pPr>
            <w:r>
              <w:rPr>
                <w:rFonts w:hint="default" w:ascii="Times New Roman" w:hAnsi="Times New Roman" w:eastAsia="黑体" w:cs="Times New Roman"/>
                <w:b w:val="0"/>
                <w:bCs w:val="0"/>
                <w:color w:val="000000"/>
                <w:kern w:val="2"/>
                <w:sz w:val="15"/>
                <w:szCs w:val="15"/>
                <w:highlight w:val="none"/>
                <w:lang w:val="en-US" w:eastAsia="zh-CN" w:bidi="ar-SA"/>
              </w:rPr>
              <w:t>不断完善管理制度</w:t>
            </w:r>
          </w:p>
        </w:tc>
        <w:tc>
          <w:tcPr>
            <w:tcW w:w="6400" w:type="dxa"/>
            <w:noWrap w:val="0"/>
            <w:vAlign w:val="top"/>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1.制定单位各项规章制度，规范内部治理结构和权力运行规则。</w:t>
            </w:r>
          </w:p>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2.健全决策机制，组建各类专业委员会并发挥作用。</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3.定期召开职工代表大会，落实职工群众知情权、参与权、表达权、监督权。</w:t>
            </w:r>
          </w:p>
          <w:p>
            <w:pPr>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4.建立人力资源管理相关制度。</w:t>
            </w:r>
          </w:p>
          <w:p>
            <w:pPr>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lang w:val="en-US" w:eastAsia="zh-CN"/>
              </w:rPr>
              <w:t>5.健全财务资产管理相关制度，建立信息公开机制。</w:t>
            </w:r>
          </w:p>
        </w:tc>
        <w:tc>
          <w:tcPr>
            <w:tcW w:w="518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一项落实不好扣1.4分。</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3</w:t>
            </w:r>
          </w:p>
        </w:tc>
        <w:tc>
          <w:tcPr>
            <w:tcW w:w="800" w:type="dxa"/>
            <w:noWrap w:val="0"/>
            <w:vAlign w:val="center"/>
          </w:tcPr>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lang w:val="en-US" w:eastAsia="zh-CN" w:bidi="ar-SA"/>
              </w:rPr>
            </w:pPr>
            <w:r>
              <w:rPr>
                <w:rFonts w:hint="default" w:ascii="Times New Roman" w:hAnsi="Times New Roman" w:eastAsia="黑体" w:cs="Times New Roman"/>
                <w:b w:val="0"/>
                <w:bCs w:val="0"/>
                <w:color w:val="000000"/>
                <w:sz w:val="15"/>
                <w:szCs w:val="15"/>
                <w:highlight w:val="none"/>
              </w:rPr>
              <w:t>提升运营管理质效</w:t>
            </w:r>
          </w:p>
        </w:tc>
        <w:tc>
          <w:tcPr>
            <w:tcW w:w="6400" w:type="dxa"/>
            <w:noWrap w:val="0"/>
            <w:vAlign w:val="center"/>
          </w:tcPr>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1.进一步加强全面预算管理, 强化预算硬约束,“严禁无预算、超预算支出”。</w:t>
            </w:r>
          </w:p>
          <w:p>
            <w:pPr>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2.加强内部财务收支管理，积极提倡节约意识，实现收支平衡。</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3.强化资产管理，定期盘点资产，提高资产使用效率。</w:t>
            </w:r>
          </w:p>
          <w:p>
            <w:pPr>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rPr>
              <w:t>4.进一步规范和加强卫生健康领域工程建设、政府采购管理工作，营造公开、公平、公正的工作环境。</w:t>
            </w:r>
          </w:p>
        </w:tc>
        <w:tc>
          <w:tcPr>
            <w:tcW w:w="5182" w:type="dxa"/>
            <w:noWrap w:val="0"/>
            <w:vAlign w:val="center"/>
          </w:tcPr>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1、“严禁无预算、超预算支出”，发生一例扣0.5分，最高可扣2分。</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2、收支平衡得2分。</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3、资产盘点每年至少一次，盘点资料齐全等1分。</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4.是否遵守相关法律法规规范基本建设项目招标、采购、实施、验收程序，如违反相关规定扣1.5分。</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0" w:firstLineChars="0"/>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rPr>
              <w:t>5.有违规进行设备物资招标、采购、实施、验收程序的，扣1.5分。</w:t>
            </w:r>
          </w:p>
        </w:tc>
        <w:tc>
          <w:tcPr>
            <w:tcW w:w="79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4</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sz w:val="15"/>
                <w:szCs w:val="15"/>
                <w:highlight w:val="none"/>
                <w:lang w:val="en-US" w:eastAsia="zh-CN"/>
              </w:rPr>
              <w:t>进一步完善综合监管体系</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lang w:eastAsia="zh-CN"/>
              </w:rPr>
              <w:t>在创新开展多元化监管的基础上，严格落实《医疗机构依法执业自查管理办法》，用好全面自查、专项自查和日常自查工作机制，加强服务质量和安全、人力资源、财务资产、绩效考核等内部管理，自觉接受行业监管和社会监督。</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1.医疗机构在自查中发现存在依法执业隐患未立即整改的，发生一例扣0.5分。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2.未落实依法执业奖惩机制（对按要求开展依法执业自查、如实报告自查结果、发现问题及时整改的部门及人员，予以奖励；对未按要求开展依法执业自查、发现问题未及时整改到位、自查工作中弄虚作假的部门和人员，从严处理）的扣2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3.未公示医疗机构依法执业自查年度计划、年度总结、各科室自查情况、奖惩情况等情况的扣1分。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4.建立机制情况：</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（1）建立医疗机构绩效考核结果协同运用机制；</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（2）建立依法执业奖惩机制；</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（3）建立公共卫生服务有奖举报制度；</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（4）建立公共卫生服务社会监督员制度；</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（5）开展第三方满意度调查。</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以上机制凡有一项未建立的扣0.5分。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sz w:val="15"/>
                <w:szCs w:val="15"/>
                <w:highlight w:val="none"/>
                <w:lang w:val="en-US" w:eastAsia="zh-CN"/>
              </w:rPr>
              <w:t>6.</w:t>
            </w:r>
            <w:r>
              <w:rPr>
                <w:rFonts w:hint="default" w:ascii="Times New Roman" w:hAnsi="Times New Roman" w:eastAsia="宋体" w:cs="Times New Roman"/>
                <w:color w:val="000000"/>
                <w:sz w:val="15"/>
                <w:szCs w:val="15"/>
                <w:highlight w:val="none"/>
                <w:lang w:eastAsia="zh-CN"/>
              </w:rPr>
              <w:t>利用信息化手段开展医疗机构依法执业自查工作的得</w:t>
            </w:r>
            <w:r>
              <w:rPr>
                <w:rFonts w:hint="default" w:ascii="Times New Roman" w:hAnsi="Times New Roman" w:eastAsia="宋体" w:cs="Times New Roman"/>
                <w:color w:val="000000"/>
                <w:sz w:val="15"/>
                <w:szCs w:val="15"/>
                <w:highlight w:val="none"/>
                <w:lang w:val="en-US" w:eastAsia="zh-CN"/>
              </w:rPr>
              <w:t>3分。</w:t>
            </w:r>
          </w:p>
        </w:tc>
        <w:tc>
          <w:tcPr>
            <w:tcW w:w="79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5</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加强信息化建设</w:t>
            </w:r>
          </w:p>
        </w:tc>
        <w:tc>
          <w:tcPr>
            <w:tcW w:w="6400"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sz w:val="15"/>
                <w:szCs w:val="15"/>
                <w:highlight w:val="none"/>
                <w:lang w:val="en-US" w:eastAsia="zh-CN"/>
              </w:rPr>
              <w:t>落实网络安全工作，健全网络安全责任管理机制，建立网络安全及个人隐私保护相关管理制度，开展网络安全宣传培训。</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sz w:val="15"/>
                <w:szCs w:val="15"/>
                <w:highlight w:val="none"/>
                <w:lang w:val="en-US" w:eastAsia="zh-CN"/>
              </w:rPr>
              <w:t>网络安全制度健全并开展应急演练、培训的，得3分</w:t>
            </w:r>
          </w:p>
        </w:tc>
        <w:tc>
          <w:tcPr>
            <w:tcW w:w="79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序号</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both"/>
              <w:textAlignment w:val="auto"/>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类别</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规范化管理任务</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指标计算及说明</w:t>
            </w:r>
          </w:p>
        </w:tc>
        <w:tc>
          <w:tcPr>
            <w:tcW w:w="79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分值</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jc w:val="center"/>
              <w:textAlignment w:val="auto"/>
              <w:rPr>
                <w:rFonts w:hint="default" w:ascii="Times New Roman" w:hAnsi="Times New Roman" w:eastAsia="黑体" w:cs="Times New Roman"/>
                <w:color w:val="000000"/>
                <w:kern w:val="2"/>
                <w:sz w:val="15"/>
                <w:szCs w:val="15"/>
                <w:highlight w:val="none"/>
                <w:vertAlign w:val="baseline"/>
                <w:lang w:val="en-US" w:eastAsia="zh-CN" w:bidi="ar-SA"/>
              </w:rPr>
            </w:pPr>
            <w:r>
              <w:rPr>
                <w:rFonts w:hint="default" w:ascii="Times New Roman" w:hAnsi="Times New Roman" w:eastAsia="黑体" w:cs="Times New Roman"/>
                <w:color w:val="000000"/>
                <w:kern w:val="2"/>
                <w:sz w:val="15"/>
                <w:szCs w:val="15"/>
                <w:highlight w:val="none"/>
                <w:vertAlign w:val="baseline"/>
                <w:lang w:val="en-US" w:eastAsia="zh-CN" w:bidi="ar-SA"/>
              </w:rPr>
              <w:t>（总计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6</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000000"/>
                <w:kern w:val="2"/>
                <w:sz w:val="15"/>
                <w:szCs w:val="15"/>
                <w:highlight w:val="no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强化公共卫生服务体系</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cs="Times New Roman"/>
                <w:color w:val="000000"/>
                <w:sz w:val="15"/>
                <w:szCs w:val="15"/>
                <w:highlight w:val="none"/>
                <w:lang w:val="en-US" w:eastAsia="zh-CN"/>
              </w:rPr>
              <w:t>制定规范</w:t>
            </w:r>
            <w:r>
              <w:rPr>
                <w:rFonts w:hint="default" w:ascii="Times New Roman" w:hAnsi="Times New Roman" w:eastAsia="宋体" w:cs="Times New Roman"/>
                <w:color w:val="000000"/>
                <w:sz w:val="15"/>
                <w:szCs w:val="15"/>
                <w:highlight w:val="none"/>
                <w:lang w:val="en-US" w:eastAsia="zh-CN"/>
              </w:rPr>
              <w:t>落实基本公共卫生服务项目</w:t>
            </w:r>
            <w:r>
              <w:rPr>
                <w:rFonts w:hint="default" w:ascii="Times New Roman" w:hAnsi="Times New Roman" w:cs="Times New Roman"/>
                <w:color w:val="000000"/>
                <w:sz w:val="15"/>
                <w:szCs w:val="15"/>
                <w:highlight w:val="none"/>
                <w:lang w:val="en-US" w:eastAsia="zh-CN"/>
              </w:rPr>
              <w:t>方案并按照方案落实工作</w:t>
            </w:r>
            <w:r>
              <w:rPr>
                <w:rFonts w:hint="default" w:ascii="Times New Roman" w:hAnsi="Times New Roman" w:eastAsia="宋体" w:cs="Times New Roman"/>
                <w:color w:val="000000"/>
                <w:sz w:val="15"/>
                <w:szCs w:val="15"/>
                <w:highlight w:val="none"/>
                <w:lang w:val="en-US" w:eastAsia="zh-CN"/>
              </w:rPr>
              <w:t>。</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1.按照宣传日开展各类宣传活动，资</w:t>
            </w:r>
            <w:r>
              <w:rPr>
                <w:rFonts w:hint="default" w:ascii="Times New Roman" w:hAnsi="Times New Roman" w:cs="Times New Roman"/>
                <w:color w:val="000000"/>
                <w:sz w:val="15"/>
                <w:szCs w:val="15"/>
                <w:highlight w:val="none"/>
                <w:lang w:val="en-US" w:eastAsia="zh-CN"/>
              </w:rPr>
              <w:t>料齐</w:t>
            </w:r>
            <w:r>
              <w:rPr>
                <w:rFonts w:hint="default" w:ascii="Times New Roman" w:hAnsi="Times New Roman" w:eastAsia="宋体" w:cs="Times New Roman"/>
                <w:color w:val="000000"/>
                <w:sz w:val="15"/>
                <w:szCs w:val="15"/>
                <w:highlight w:val="none"/>
                <w:lang w:val="en-US" w:eastAsia="zh-CN"/>
              </w:rPr>
              <w:t>全。</w:t>
            </w:r>
            <w:r>
              <w:rPr>
                <w:rFonts w:hint="default" w:ascii="Times New Roman" w:hAnsi="Times New Roman" w:cs="Times New Roman"/>
                <w:color w:val="000000"/>
                <w:sz w:val="15"/>
                <w:szCs w:val="15"/>
                <w:highlight w:val="none"/>
                <w:lang w:val="en-US" w:eastAsia="zh-CN"/>
              </w:rPr>
              <w:t>（4分）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2.开展基本公共卫生项目培训，每</w:t>
            </w:r>
            <w:r>
              <w:rPr>
                <w:rFonts w:hint="default" w:ascii="Times New Roman" w:hAnsi="Times New Roman" w:cs="Times New Roman"/>
                <w:color w:val="000000"/>
                <w:sz w:val="15"/>
                <w:szCs w:val="15"/>
                <w:highlight w:val="none"/>
                <w:lang w:val="en-US" w:eastAsia="zh-CN"/>
              </w:rPr>
              <w:t>月</w:t>
            </w:r>
            <w:r>
              <w:rPr>
                <w:rFonts w:hint="default" w:ascii="Times New Roman" w:hAnsi="Times New Roman" w:eastAsia="宋体" w:cs="Times New Roman"/>
                <w:color w:val="000000"/>
                <w:sz w:val="15"/>
                <w:szCs w:val="15"/>
                <w:highlight w:val="none"/>
                <w:lang w:val="en-US" w:eastAsia="zh-CN"/>
              </w:rPr>
              <w:t>不少于</w:t>
            </w:r>
            <w:r>
              <w:rPr>
                <w:rFonts w:hint="default" w:ascii="Times New Roman" w:hAnsi="Times New Roman" w:cs="Times New Roman"/>
                <w:color w:val="000000"/>
                <w:sz w:val="15"/>
                <w:szCs w:val="15"/>
                <w:highlight w:val="none"/>
                <w:lang w:val="en-US" w:eastAsia="zh-CN"/>
              </w:rPr>
              <w:t>1</w:t>
            </w:r>
            <w:r>
              <w:rPr>
                <w:rFonts w:hint="default" w:ascii="Times New Roman" w:hAnsi="Times New Roman" w:eastAsia="宋体" w:cs="Times New Roman"/>
                <w:color w:val="000000"/>
                <w:sz w:val="15"/>
                <w:szCs w:val="15"/>
                <w:highlight w:val="none"/>
                <w:lang w:val="en-US" w:eastAsia="zh-CN"/>
              </w:rPr>
              <w:t>次。</w:t>
            </w:r>
            <w:r>
              <w:rPr>
                <w:rFonts w:hint="default" w:ascii="Times New Roman" w:hAnsi="Times New Roman" w:cs="Times New Roman"/>
                <w:color w:val="000000"/>
                <w:sz w:val="15"/>
                <w:szCs w:val="15"/>
                <w:highlight w:val="none"/>
                <w:lang w:val="en-US" w:eastAsia="zh-CN"/>
              </w:rPr>
              <w:t>（4分）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lang w:val="en-US" w:eastAsia="zh-CN"/>
              </w:rPr>
              <w:t>3.</w:t>
            </w:r>
            <w:r>
              <w:rPr>
                <w:rFonts w:hint="default" w:ascii="Times New Roman" w:hAnsi="Times New Roman" w:cs="Times New Roman"/>
                <w:color w:val="000000"/>
                <w:sz w:val="15"/>
                <w:szCs w:val="15"/>
                <w:highlight w:val="none"/>
                <w:lang w:val="en-US" w:eastAsia="zh-CN"/>
              </w:rPr>
              <w:t>定期对村卫生室</w:t>
            </w:r>
            <w:r>
              <w:rPr>
                <w:rFonts w:hint="default" w:ascii="Times New Roman" w:hAnsi="Times New Roman" w:eastAsia="宋体" w:cs="Times New Roman"/>
                <w:color w:val="000000"/>
                <w:sz w:val="15"/>
                <w:szCs w:val="15"/>
                <w:highlight w:val="none"/>
                <w:lang w:val="en-US" w:eastAsia="zh-CN"/>
              </w:rPr>
              <w:t>开展基本公共卫生服务度考核。</w:t>
            </w:r>
            <w:r>
              <w:rPr>
                <w:rFonts w:hint="default" w:ascii="Times New Roman" w:hAnsi="Times New Roman" w:cs="Times New Roman"/>
                <w:color w:val="000000"/>
                <w:sz w:val="15"/>
                <w:szCs w:val="15"/>
                <w:highlight w:val="none"/>
                <w:lang w:val="en-US" w:eastAsia="zh-CN"/>
              </w:rPr>
              <w:t>（4分）</w:t>
            </w:r>
          </w:p>
        </w:tc>
        <w:tc>
          <w:tcPr>
            <w:tcW w:w="79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1</w:t>
            </w:r>
            <w:r>
              <w:rPr>
                <w:rFonts w:hint="default" w:ascii="Times New Roman" w:hAnsi="Times New Roman" w:cs="Times New Roman"/>
                <w:color w:val="000000"/>
                <w:kern w:val="2"/>
                <w:sz w:val="15"/>
                <w:szCs w:val="15"/>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7</w:t>
            </w:r>
          </w:p>
        </w:tc>
        <w:tc>
          <w:tcPr>
            <w:tcW w:w="800" w:type="dxa"/>
            <w:noWrap w:val="0"/>
            <w:vAlign w:val="center"/>
          </w:tcPr>
          <w:p>
            <w:pPr>
              <w:keepNext w:val="0"/>
              <w:keepLines w:val="0"/>
              <w:pageBreakBefore w:val="0"/>
              <w:kinsoku/>
              <w:wordWrap/>
              <w:overflowPunct/>
              <w:topLinePunct w:val="0"/>
              <w:autoSpaceDE/>
              <w:autoSpaceDN/>
              <w:bidi w:val="0"/>
              <w:adjustRightInd/>
              <w:snapToGrid/>
              <w:spacing w:line="180" w:lineRule="exact"/>
              <w:ind w:left="0" w:leftChars="0" w:right="0" w:rightChars="0"/>
              <w:textAlignment w:val="auto"/>
              <w:outlineLvl w:val="9"/>
              <w:rPr>
                <w:rFonts w:hint="default" w:ascii="Times New Roman" w:hAnsi="Times New Roman" w:eastAsia="黑体" w:cs="Times New Roman"/>
                <w:b w:val="0"/>
                <w:bCs w:val="0"/>
                <w:color w:val="000000"/>
                <w:kern w:val="1"/>
                <w:sz w:val="15"/>
                <w:szCs w:val="15"/>
                <w:highlight w:val="no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提升基层卫生服务能力</w:t>
            </w:r>
          </w:p>
        </w:tc>
        <w:tc>
          <w:tcPr>
            <w:tcW w:w="6400"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 xml:space="preserve">1.制定本单位百名医师下基层对口支援活动计县区市卫生健康局及对口支援单位签订支援目标责任书，各受援单位  对下基层卫生专业技术人员在岗情况、遵守劳动纪律、履行岗位  职责等进行全面考核和绩效评定定性。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2.百名医师下基层对口支援工作考核优秀。</w:t>
            </w:r>
          </w:p>
          <w:p>
            <w:pPr>
              <w:pStyle w:val="4"/>
              <w:keepNext w:val="0"/>
              <w:keepLines w:val="0"/>
              <w:pageBreakBefore w:val="0"/>
              <w:kinsoku/>
              <w:wordWrap/>
              <w:overflowPunct/>
              <w:topLinePunct w:val="0"/>
              <w:autoSpaceDE/>
              <w:autoSpaceDN/>
              <w:bidi w:val="0"/>
              <w:adjustRightInd/>
              <w:snapToGrid/>
              <w:spacing w:line="180" w:lineRule="exact"/>
              <w:ind w:left="0" w:leftChars="0" w:right="0" w:rightChars="0" w:firstLine="300" w:firstLineChars="20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p>
        </w:tc>
        <w:tc>
          <w:tcPr>
            <w:tcW w:w="518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ind w:right="0" w:rightChars="0"/>
              <w:jc w:val="left"/>
              <w:textAlignment w:val="auto"/>
              <w:outlineLvl w:val="9"/>
              <w:rPr>
                <w:rFonts w:hint="default" w:ascii="Times New Roman" w:hAnsi="Times New Roman" w:eastAsia="宋体" w:cs="Times New Roman"/>
                <w:color w:val="000000"/>
                <w:kern w:val="1"/>
                <w:sz w:val="15"/>
                <w:szCs w:val="15"/>
                <w:highlight w:val="none"/>
                <w:lang w:val="en-US" w:eastAsia="zh-CN"/>
              </w:rPr>
            </w:pPr>
            <w:r>
              <w:rPr>
                <w:rFonts w:hint="default" w:ascii="Times New Roman" w:hAnsi="Times New Roman" w:eastAsia="宋体" w:cs="Times New Roman"/>
                <w:color w:val="000000"/>
                <w:kern w:val="1"/>
                <w:sz w:val="15"/>
                <w:szCs w:val="15"/>
                <w:highlight w:val="none"/>
                <w:lang w:val="en-US" w:eastAsia="zh-CN"/>
              </w:rPr>
              <w:t>1.</w:t>
            </w:r>
            <w:r>
              <w:rPr>
                <w:rFonts w:hint="default" w:ascii="Times New Roman" w:hAnsi="Times New Roman" w:eastAsia="宋体" w:cs="Times New Roman"/>
                <w:color w:val="000000"/>
                <w:kern w:val="1"/>
                <w:sz w:val="15"/>
                <w:szCs w:val="15"/>
                <w:highlight w:val="none"/>
              </w:rPr>
              <w:t>制定本单位百名医师下基层对口支援活动计划得</w:t>
            </w:r>
            <w:r>
              <w:rPr>
                <w:rFonts w:hint="default" w:ascii="Times New Roman" w:hAnsi="Times New Roman" w:eastAsia="宋体" w:cs="Times New Roman"/>
                <w:color w:val="000000"/>
                <w:kern w:val="1"/>
                <w:sz w:val="15"/>
                <w:szCs w:val="15"/>
                <w:highlight w:val="none"/>
                <w:lang w:val="en-US" w:eastAsia="zh-CN"/>
              </w:rPr>
              <w:t>2</w:t>
            </w:r>
            <w:r>
              <w:rPr>
                <w:rFonts w:hint="default" w:ascii="Times New Roman" w:hAnsi="Times New Roman" w:eastAsia="宋体" w:cs="Times New Roman"/>
                <w:color w:val="000000"/>
                <w:kern w:val="1"/>
                <w:sz w:val="15"/>
                <w:szCs w:val="15"/>
                <w:highlight w:val="none"/>
              </w:rPr>
              <w:t>分，与市卫生健康委及对口支援单位签订支援目标责任书得</w:t>
            </w:r>
            <w:r>
              <w:rPr>
                <w:rFonts w:hint="default" w:ascii="Times New Roman" w:hAnsi="Times New Roman" w:eastAsia="宋体" w:cs="Times New Roman"/>
                <w:color w:val="000000"/>
                <w:kern w:val="1"/>
                <w:sz w:val="15"/>
                <w:szCs w:val="15"/>
                <w:highlight w:val="none"/>
                <w:lang w:val="en-US" w:eastAsia="zh-CN"/>
              </w:rPr>
              <w:t>2</w:t>
            </w:r>
            <w:r>
              <w:rPr>
                <w:rFonts w:hint="default" w:ascii="Times New Roman" w:hAnsi="Times New Roman" w:eastAsia="宋体" w:cs="Times New Roman"/>
                <w:color w:val="000000"/>
                <w:kern w:val="1"/>
                <w:sz w:val="15"/>
                <w:szCs w:val="15"/>
                <w:highlight w:val="none"/>
              </w:rPr>
              <w:t>分，对对口支援工作开展督查和整改的得</w:t>
            </w:r>
            <w:r>
              <w:rPr>
                <w:rFonts w:hint="default" w:ascii="Times New Roman" w:hAnsi="Times New Roman" w:eastAsia="宋体" w:cs="Times New Roman"/>
                <w:color w:val="000000"/>
                <w:kern w:val="1"/>
                <w:sz w:val="15"/>
                <w:szCs w:val="15"/>
                <w:highlight w:val="none"/>
                <w:lang w:val="en-US" w:eastAsia="zh-CN"/>
              </w:rPr>
              <w:t>2</w:t>
            </w:r>
            <w:r>
              <w:rPr>
                <w:rFonts w:hint="default" w:ascii="Times New Roman" w:hAnsi="Times New Roman" w:eastAsia="宋体" w:cs="Times New Roman"/>
                <w:color w:val="000000"/>
                <w:kern w:val="1"/>
                <w:sz w:val="15"/>
                <w:szCs w:val="15"/>
                <w:highlight w:val="none"/>
              </w:rPr>
              <w:t xml:space="preserve">分（一年不少于2次）；        </w:t>
            </w:r>
            <w:r>
              <w:rPr>
                <w:rFonts w:hint="default" w:ascii="Times New Roman" w:hAnsi="Times New Roman" w:eastAsia="宋体" w:cs="Times New Roman"/>
                <w:color w:val="000000"/>
                <w:kern w:val="1"/>
                <w:sz w:val="15"/>
                <w:szCs w:val="15"/>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ind w:right="0" w:rightChars="0"/>
              <w:jc w:val="left"/>
              <w:textAlignment w:val="auto"/>
              <w:outlineLvl w:val="9"/>
              <w:rPr>
                <w:rFonts w:hint="default" w:ascii="Times New Roman" w:hAnsi="Times New Roman" w:eastAsia="宋体" w:cs="Times New Roman"/>
                <w:color w:val="000000"/>
                <w:kern w:val="1"/>
                <w:sz w:val="15"/>
                <w:szCs w:val="15"/>
                <w:highlight w:val="none"/>
                <w:lang w:val="en-US" w:eastAsia="zh-CN" w:bidi="ar-SA"/>
              </w:rPr>
            </w:pPr>
            <w:r>
              <w:rPr>
                <w:rFonts w:hint="default" w:ascii="Times New Roman" w:hAnsi="Times New Roman" w:eastAsia="宋体" w:cs="Times New Roman"/>
                <w:color w:val="000000"/>
                <w:kern w:val="1"/>
                <w:sz w:val="15"/>
                <w:szCs w:val="15"/>
                <w:highlight w:val="none"/>
                <w:lang w:val="en-US" w:eastAsia="zh-CN"/>
              </w:rPr>
              <w:t xml:space="preserve"> </w:t>
            </w:r>
            <w:r>
              <w:rPr>
                <w:rFonts w:hint="default" w:ascii="Times New Roman" w:hAnsi="Times New Roman" w:eastAsia="宋体" w:cs="Times New Roman"/>
                <w:color w:val="000000"/>
                <w:kern w:val="1"/>
                <w:sz w:val="15"/>
                <w:szCs w:val="15"/>
                <w:highlight w:val="none"/>
              </w:rPr>
              <w:t>2.2022年度百名医师下基层考核为优秀等次得</w:t>
            </w:r>
            <w:r>
              <w:rPr>
                <w:rFonts w:hint="default" w:ascii="Times New Roman" w:hAnsi="Times New Roman" w:eastAsia="宋体" w:cs="Times New Roman"/>
                <w:color w:val="000000"/>
                <w:kern w:val="1"/>
                <w:sz w:val="15"/>
                <w:szCs w:val="15"/>
                <w:highlight w:val="none"/>
                <w:lang w:val="en-US" w:eastAsia="zh-CN"/>
              </w:rPr>
              <w:t>2</w:t>
            </w:r>
            <w:r>
              <w:rPr>
                <w:rFonts w:hint="default" w:ascii="Times New Roman" w:hAnsi="Times New Roman" w:eastAsia="宋体" w:cs="Times New Roman"/>
                <w:color w:val="000000"/>
                <w:kern w:val="1"/>
                <w:sz w:val="15"/>
                <w:szCs w:val="15"/>
                <w:highlight w:val="none"/>
              </w:rPr>
              <w:t>分，合格等次得0.5分，考核不合格不得分（以自治区最后公示结果为准）。</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center"/>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8</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强化重点传染病、慢病防控措施</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lang w:val="en-US" w:eastAsia="zh-CN"/>
              </w:rPr>
              <w:t>加强监测预警，规范开展地方病、传染病防治。</w:t>
            </w:r>
          </w:p>
        </w:tc>
        <w:tc>
          <w:tcPr>
            <w:tcW w:w="5182"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1.完成传染病监测、分析报告</w:t>
            </w:r>
            <w:r>
              <w:rPr>
                <w:rFonts w:hint="default" w:ascii="Times New Roman" w:hAnsi="Times New Roman" w:cs="Times New Roman"/>
                <w:color w:val="000000"/>
                <w:sz w:val="15"/>
                <w:szCs w:val="15"/>
                <w:highlight w:val="none"/>
                <w:lang w:val="en-US" w:eastAsia="zh-CN"/>
              </w:rPr>
              <w:t>等</w:t>
            </w:r>
            <w:r>
              <w:rPr>
                <w:rFonts w:hint="default" w:ascii="Times New Roman" w:hAnsi="Times New Roman" w:eastAsia="宋体" w:cs="Times New Roman"/>
                <w:color w:val="000000"/>
                <w:sz w:val="15"/>
                <w:szCs w:val="15"/>
                <w:highlight w:val="none"/>
                <w:lang w:val="en-US" w:eastAsia="zh-CN"/>
              </w:rPr>
              <w:t>工作。</w:t>
            </w:r>
            <w:r>
              <w:rPr>
                <w:rFonts w:hint="default" w:ascii="Times New Roman" w:hAnsi="Times New Roman" w:cs="Times New Roman"/>
                <w:color w:val="000000"/>
                <w:sz w:val="15"/>
                <w:szCs w:val="15"/>
                <w:highlight w:val="none"/>
                <w:lang w:val="en-US" w:eastAsia="zh-CN"/>
              </w:rPr>
              <w:t>（6分）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2.落实职业病</w:t>
            </w:r>
            <w:r>
              <w:rPr>
                <w:rFonts w:hint="default" w:ascii="Times New Roman" w:hAnsi="Times New Roman" w:cs="Times New Roman"/>
                <w:color w:val="000000"/>
                <w:sz w:val="15"/>
                <w:szCs w:val="15"/>
                <w:highlight w:val="none"/>
                <w:lang w:val="en-US" w:eastAsia="zh-CN"/>
              </w:rPr>
              <w:t>、地方病、慢性病</w:t>
            </w:r>
            <w:r>
              <w:rPr>
                <w:rFonts w:hint="default" w:ascii="Times New Roman" w:hAnsi="Times New Roman" w:eastAsia="宋体" w:cs="Times New Roman"/>
                <w:color w:val="000000"/>
                <w:sz w:val="15"/>
                <w:szCs w:val="15"/>
                <w:highlight w:val="none"/>
                <w:lang w:val="en-US" w:eastAsia="zh-CN"/>
              </w:rPr>
              <w:t>宣传督导等工作。</w:t>
            </w:r>
            <w:r>
              <w:rPr>
                <w:rFonts w:hint="default" w:ascii="Times New Roman" w:hAnsi="Times New Roman" w:cs="Times New Roman"/>
                <w:color w:val="000000"/>
                <w:sz w:val="15"/>
                <w:szCs w:val="15"/>
                <w:highlight w:val="none"/>
                <w:lang w:val="en-US" w:eastAsia="zh-CN"/>
              </w:rPr>
              <w:t>（7分）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center"/>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9</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sz w:val="15"/>
                <w:szCs w:val="15"/>
                <w:highlight w:val="none"/>
                <w:lang w:val="en-US" w:eastAsia="zh-CN"/>
              </w:rPr>
              <w:t>加强医废处置能力管理</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kern w:val="2"/>
                <w:sz w:val="15"/>
                <w:szCs w:val="15"/>
                <w:highlight w:val="none"/>
                <w:lang w:val="en-US" w:eastAsia="zh-CN" w:bidi="ar-SA"/>
              </w:rPr>
              <w:t>医疗机构医废处置各环节</w:t>
            </w:r>
            <w:r>
              <w:rPr>
                <w:rFonts w:hint="default" w:ascii="Times New Roman" w:hAnsi="Times New Roman" w:cs="Times New Roman"/>
                <w:color w:val="000000"/>
                <w:kern w:val="2"/>
                <w:sz w:val="15"/>
                <w:szCs w:val="15"/>
                <w:highlight w:val="none"/>
                <w:lang w:val="en-US" w:eastAsia="zh-CN" w:bidi="ar-SA"/>
              </w:rPr>
              <w:t>是否</w:t>
            </w:r>
            <w:r>
              <w:rPr>
                <w:rFonts w:hint="default" w:ascii="Times New Roman" w:hAnsi="Times New Roman" w:eastAsia="宋体" w:cs="Times New Roman"/>
                <w:color w:val="000000"/>
                <w:kern w:val="2"/>
                <w:sz w:val="15"/>
                <w:szCs w:val="15"/>
                <w:highlight w:val="none"/>
                <w:lang w:val="en-US" w:eastAsia="zh-CN" w:bidi="ar-SA"/>
              </w:rPr>
              <w:t>规范。</w:t>
            </w:r>
          </w:p>
          <w:p>
            <w:pPr>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p>
        </w:tc>
        <w:tc>
          <w:tcPr>
            <w:tcW w:w="518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both"/>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每完成一项得1分，全部完成得2分，完不成不得分。</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center"/>
              <w:textAlignment w:val="auto"/>
              <w:outlineLvl w:val="9"/>
              <w:rPr>
                <w:rFonts w:hint="default" w:ascii="Times New Roman" w:hAnsi="Times New Roman" w:eastAsia="宋体" w:cs="Times New Roman"/>
                <w:color w:val="000000"/>
                <w:kern w:val="2"/>
                <w:sz w:val="15"/>
                <w:szCs w:val="15"/>
                <w:highlight w:val="none"/>
                <w:lang w:val="en-US" w:eastAsia="zh-CN" w:bidi="ar-SA"/>
              </w:rPr>
            </w:pPr>
            <w:r>
              <w:rPr>
                <w:rFonts w:hint="default" w:ascii="Times New Roman" w:hAnsi="Times New Roman" w:eastAsia="宋体" w:cs="Times New Roman"/>
                <w:color w:val="000000"/>
                <w:sz w:val="15"/>
                <w:szCs w:val="15"/>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10</w:t>
            </w:r>
          </w:p>
        </w:tc>
        <w:tc>
          <w:tcPr>
            <w:tcW w:w="800" w:type="dxa"/>
            <w:noWrap w:val="0"/>
            <w:vAlign w:val="center"/>
          </w:tcPr>
          <w:p>
            <w:pPr>
              <w:pStyle w:val="5"/>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180" w:lineRule="exact"/>
              <w:ind w:left="0" w:leftChars="0" w:right="0" w:rightChars="0"/>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sz w:val="15"/>
                <w:szCs w:val="15"/>
                <w:highlight w:val="none"/>
                <w:lang w:eastAsia="zh-CN"/>
              </w:rPr>
              <w:t>规范母婴安全</w:t>
            </w:r>
            <w:r>
              <w:rPr>
                <w:rFonts w:hint="default" w:ascii="Times New Roman" w:hAnsi="Times New Roman" w:eastAsia="黑体" w:cs="Times New Roman"/>
                <w:b w:val="0"/>
                <w:bCs w:val="0"/>
                <w:color w:val="000000"/>
                <w:sz w:val="15"/>
                <w:szCs w:val="15"/>
                <w:highlight w:val="none"/>
              </w:rPr>
              <w:t>管理</w:t>
            </w:r>
            <w:r>
              <w:rPr>
                <w:rFonts w:hint="default" w:ascii="Times New Roman" w:hAnsi="Times New Roman" w:eastAsia="黑体" w:cs="Times New Roman"/>
                <w:b w:val="0"/>
                <w:bCs w:val="0"/>
                <w:color w:val="000000"/>
                <w:sz w:val="15"/>
                <w:szCs w:val="15"/>
                <w:highlight w:val="none"/>
                <w:lang w:eastAsia="zh-CN"/>
              </w:rPr>
              <w:t>（</w:t>
            </w:r>
            <w:r>
              <w:rPr>
                <w:rFonts w:hint="default" w:ascii="Times New Roman" w:hAnsi="Times New Roman" w:eastAsia="黑体" w:cs="Times New Roman"/>
                <w:b w:val="0"/>
                <w:bCs w:val="0"/>
                <w:color w:val="000000"/>
                <w:sz w:val="15"/>
                <w:szCs w:val="15"/>
                <w:highlight w:val="none"/>
                <w:lang w:val="en-US" w:eastAsia="zh-CN"/>
              </w:rPr>
              <w:t>妇幼保健机构</w:t>
            </w:r>
            <w:r>
              <w:rPr>
                <w:rFonts w:hint="default" w:ascii="Times New Roman" w:hAnsi="Times New Roman" w:eastAsia="黑体" w:cs="Times New Roman"/>
                <w:b w:val="0"/>
                <w:bCs w:val="0"/>
                <w:color w:val="000000"/>
                <w:sz w:val="15"/>
                <w:szCs w:val="15"/>
                <w:highlight w:val="none"/>
                <w:lang w:eastAsia="zh-CN"/>
              </w:rPr>
              <w:t>）</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1.每季度举办母婴安全工作风险研判协调会议，及时总结工作经验和工作成效，进一步研讨解决危急重症救治和母婴安全管理工作中存在的问题和风险隐患</w:t>
            </w:r>
            <w:r>
              <w:rPr>
                <w:rFonts w:hint="default" w:ascii="Times New Roman" w:hAnsi="Times New Roman" w:cs="Times New Roman"/>
                <w:color w:val="000000"/>
                <w:kern w:val="2"/>
                <w:sz w:val="15"/>
                <w:szCs w:val="15"/>
                <w:highlight w:val="none"/>
                <w:vertAlign w:val="baseli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2.要强化辖区内母婴安全管理工作的业务指导考核。每月将孕情信息反馈给乡镇社区核实管理，每季度抽取在各医疗机构定点产检的孕妇信息，与基层医疗卫生机构建档信息比对，对摸排不到位、漏管率高的进行通报，按照月进度通报、季督导抽查、半年组织考核的形式，加强对助产机构和基层医疗卫生机构落实孕产妇和5岁以下儿童健康管理情况的督查考核</w:t>
            </w:r>
            <w:r>
              <w:rPr>
                <w:rFonts w:hint="default" w:ascii="Times New Roman" w:hAnsi="Times New Roman" w:cs="Times New Roman"/>
                <w:color w:val="000000"/>
                <w:kern w:val="2"/>
                <w:sz w:val="15"/>
                <w:szCs w:val="15"/>
                <w:highlight w:val="none"/>
                <w:vertAlign w:val="baseline"/>
                <w:lang w:val="en-US" w:eastAsia="zh-CN" w:bidi="ar-SA"/>
              </w:rPr>
              <w:t>。</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cs="Times New Roman"/>
                <w:color w:val="000000"/>
                <w:kern w:val="2"/>
                <w:sz w:val="15"/>
                <w:szCs w:val="15"/>
                <w:highlight w:val="none"/>
                <w:vertAlign w:val="baseline"/>
                <w:lang w:val="en-US" w:eastAsia="zh-CN" w:bidi="ar-SA"/>
              </w:rPr>
            </w:pPr>
            <w:r>
              <w:rPr>
                <w:rFonts w:hint="default" w:ascii="Times New Roman" w:hAnsi="Times New Roman" w:cs="Times New Roman"/>
                <w:color w:val="000000"/>
                <w:kern w:val="2"/>
                <w:sz w:val="15"/>
                <w:szCs w:val="15"/>
                <w:highlight w:val="none"/>
                <w:vertAlign w:val="baseline"/>
                <w:lang w:val="en-US" w:eastAsia="zh-CN" w:bidi="ar-SA"/>
              </w:rPr>
              <w:t>1.少一次</w:t>
            </w:r>
            <w:r>
              <w:rPr>
                <w:rFonts w:hint="default" w:ascii="Times New Roman" w:hAnsi="Times New Roman" w:eastAsia="宋体" w:cs="Times New Roman"/>
                <w:color w:val="000000"/>
                <w:kern w:val="2"/>
                <w:sz w:val="15"/>
                <w:szCs w:val="15"/>
                <w:highlight w:val="none"/>
                <w:vertAlign w:val="baseline"/>
                <w:lang w:val="en-US" w:eastAsia="zh-CN" w:bidi="ar-SA"/>
              </w:rPr>
              <w:t>风险研判</w:t>
            </w:r>
            <w:r>
              <w:rPr>
                <w:rFonts w:hint="default" w:ascii="Times New Roman" w:hAnsi="Times New Roman" w:cs="Times New Roman"/>
                <w:color w:val="000000"/>
                <w:kern w:val="2"/>
                <w:sz w:val="15"/>
                <w:szCs w:val="15"/>
                <w:highlight w:val="none"/>
                <w:vertAlign w:val="baseline"/>
                <w:lang w:val="en-US" w:eastAsia="zh-CN" w:bidi="ar-SA"/>
              </w:rPr>
              <w:t>扣1分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cs="Times New Roman"/>
                <w:color w:val="000000"/>
                <w:kern w:val="2"/>
                <w:sz w:val="15"/>
                <w:szCs w:val="15"/>
                <w:highlight w:val="none"/>
                <w:vertAlign w:val="baseline"/>
                <w:lang w:val="en-US" w:eastAsia="zh-CN" w:bidi="ar-SA"/>
              </w:rPr>
            </w:pPr>
            <w:r>
              <w:rPr>
                <w:rFonts w:hint="default" w:ascii="Times New Roman" w:hAnsi="Times New Roman" w:cs="Times New Roman"/>
                <w:color w:val="000000"/>
                <w:kern w:val="2"/>
                <w:sz w:val="15"/>
                <w:szCs w:val="15"/>
                <w:highlight w:val="none"/>
                <w:vertAlign w:val="baseline"/>
                <w:lang w:val="en-US" w:eastAsia="zh-CN" w:bidi="ar-SA"/>
              </w:rPr>
              <w:t>2.</w:t>
            </w:r>
            <w:r>
              <w:rPr>
                <w:rFonts w:hint="default" w:ascii="Times New Roman" w:hAnsi="Times New Roman" w:eastAsia="宋体" w:cs="Times New Roman"/>
                <w:color w:val="000000"/>
                <w:kern w:val="2"/>
                <w:sz w:val="15"/>
                <w:szCs w:val="15"/>
                <w:highlight w:val="none"/>
                <w:vertAlign w:val="baseline"/>
                <w:lang w:val="en-US" w:eastAsia="zh-CN" w:bidi="ar-SA"/>
              </w:rPr>
              <w:t>月进度通报、季督导抽查、半年组织考核</w:t>
            </w:r>
            <w:r>
              <w:rPr>
                <w:rFonts w:hint="default" w:ascii="Times New Roman" w:hAnsi="Times New Roman" w:cs="Times New Roman"/>
                <w:color w:val="000000"/>
                <w:kern w:val="2"/>
                <w:sz w:val="15"/>
                <w:szCs w:val="15"/>
                <w:highlight w:val="none"/>
                <w:vertAlign w:val="baseline"/>
                <w:lang w:val="en-US" w:eastAsia="zh-CN" w:bidi="ar-SA"/>
              </w:rPr>
              <w:t>少一次扣1分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cs="Times New Roman"/>
                <w:color w:val="000000"/>
                <w:kern w:val="2"/>
                <w:sz w:val="15"/>
                <w:szCs w:val="15"/>
                <w:highlight w:val="none"/>
                <w:vertAlign w:val="baseline"/>
                <w:lang w:val="en-US" w:eastAsia="zh-CN" w:bidi="ar-SA"/>
              </w:rPr>
              <w:t xml:space="preserve"> 3.根据</w:t>
            </w:r>
            <w:r>
              <w:rPr>
                <w:rFonts w:hint="default" w:ascii="Times New Roman" w:hAnsi="Times New Roman" w:eastAsia="宋体" w:cs="Times New Roman"/>
                <w:color w:val="000000"/>
                <w:kern w:val="2"/>
                <w:sz w:val="15"/>
                <w:szCs w:val="15"/>
                <w:highlight w:val="none"/>
                <w:vertAlign w:val="baseline"/>
                <w:lang w:val="en-US" w:eastAsia="zh-CN" w:bidi="ar-SA"/>
              </w:rPr>
              <w:t>培训</w:t>
            </w:r>
            <w:r>
              <w:rPr>
                <w:rFonts w:hint="default" w:ascii="Times New Roman" w:hAnsi="Times New Roman" w:cs="Times New Roman"/>
                <w:color w:val="000000"/>
                <w:kern w:val="2"/>
                <w:sz w:val="15"/>
                <w:szCs w:val="15"/>
                <w:highlight w:val="none"/>
                <w:vertAlign w:val="baseline"/>
                <w:lang w:val="en-US" w:eastAsia="zh-CN" w:bidi="ar-SA"/>
              </w:rPr>
              <w:t>效果酌情扣分。</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center"/>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11</w:t>
            </w:r>
          </w:p>
        </w:tc>
        <w:tc>
          <w:tcPr>
            <w:tcW w:w="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2"/>
                <w:sz w:val="15"/>
                <w:szCs w:val="15"/>
                <w:highlight w:val="none"/>
                <w:vertAlign w:val="baseline"/>
                <w:lang w:val="en-US" w:eastAsia="zh-CN" w:bidi="ar-SA"/>
              </w:rPr>
            </w:pPr>
            <w:r>
              <w:rPr>
                <w:rFonts w:hint="default" w:ascii="Times New Roman" w:hAnsi="Times New Roman" w:eastAsia="黑体" w:cs="Times New Roman"/>
                <w:b w:val="0"/>
                <w:bCs w:val="0"/>
                <w:color w:val="000000"/>
                <w:kern w:val="2"/>
                <w:sz w:val="15"/>
                <w:szCs w:val="15"/>
                <w:highlight w:val="none"/>
                <w:vertAlign w:val="baseline"/>
                <w:lang w:val="en-US" w:eastAsia="zh-CN" w:bidi="ar-SA"/>
              </w:rPr>
              <w:t>健康教育与健康促进</w:t>
            </w:r>
          </w:p>
        </w:tc>
        <w:tc>
          <w:tcPr>
            <w:tcW w:w="64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1.将健康教育纳入医务人员绩效考核并制定方案。</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2.每月至少开展健康教育讲座1次，覆盖人数≥80。讲座资料齐全。</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eastAsia="宋体" w:cs="Times New Roman"/>
                <w:color w:val="000000"/>
                <w:kern w:val="2"/>
                <w:sz w:val="15"/>
                <w:szCs w:val="15"/>
                <w:highlight w:val="none"/>
                <w:vertAlign w:val="baseline"/>
                <w:lang w:val="en-US" w:eastAsia="zh-CN" w:bidi="ar-SA"/>
              </w:rPr>
              <w:t>3.巩固无烟医院创建成果。</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cs="Times New Roman"/>
                <w:color w:val="000000"/>
                <w:lang w:val="en-US" w:eastAsia="zh-CN"/>
              </w:rPr>
            </w:pPr>
            <w:r>
              <w:rPr>
                <w:rFonts w:hint="default" w:ascii="Times New Roman" w:hAnsi="Times New Roman" w:eastAsia="宋体" w:cs="Times New Roman"/>
                <w:color w:val="000000"/>
                <w:kern w:val="2"/>
                <w:sz w:val="15"/>
                <w:szCs w:val="15"/>
                <w:highlight w:val="none"/>
                <w:vertAlign w:val="baseline"/>
                <w:lang w:val="en-US" w:eastAsia="zh-CN" w:bidi="ar-SA"/>
              </w:rPr>
              <w:t>4.</w:t>
            </w:r>
            <w:r>
              <w:rPr>
                <w:rFonts w:hint="default" w:ascii="Times New Roman" w:hAnsi="Times New Roman" w:cs="Times New Roman"/>
                <w:color w:val="000000"/>
                <w:kern w:val="2"/>
                <w:sz w:val="15"/>
                <w:szCs w:val="15"/>
                <w:highlight w:val="none"/>
                <w:vertAlign w:val="baseline"/>
                <w:lang w:val="en-US" w:eastAsia="zh-CN" w:bidi="ar-SA"/>
              </w:rPr>
              <w:t>开展健康促进医院建设，档案资料齐全。（新增）</w:t>
            </w:r>
          </w:p>
        </w:tc>
        <w:tc>
          <w:tcPr>
            <w:tcW w:w="518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cs="Times New Roman"/>
                <w:color w:val="000000"/>
                <w:sz w:val="15"/>
                <w:szCs w:val="15"/>
                <w:highlight w:val="none"/>
                <w:lang w:val="en-US" w:eastAsia="zh-CN"/>
              </w:rPr>
            </w:pPr>
            <w:r>
              <w:rPr>
                <w:rFonts w:hint="default" w:ascii="Times New Roman" w:hAnsi="Times New Roman" w:cs="Times New Roman"/>
                <w:color w:val="000000"/>
                <w:kern w:val="2"/>
                <w:sz w:val="15"/>
                <w:szCs w:val="15"/>
                <w:highlight w:val="none"/>
                <w:vertAlign w:val="baseline"/>
                <w:lang w:val="en-US" w:eastAsia="zh-CN" w:bidi="ar-SA"/>
              </w:rPr>
              <w:t>1.未将</w:t>
            </w:r>
            <w:r>
              <w:rPr>
                <w:rFonts w:hint="default" w:ascii="Times New Roman" w:hAnsi="Times New Roman" w:cs="Times New Roman"/>
                <w:color w:val="000000"/>
                <w:sz w:val="15"/>
                <w:szCs w:val="15"/>
                <w:highlight w:val="none"/>
                <w:lang w:val="en-US" w:eastAsia="zh-CN"/>
              </w:rPr>
              <w:t>健康教育纳入医务人员绩效考核，扣2分；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cs="Times New Roman"/>
                <w:color w:val="000000"/>
                <w:sz w:val="15"/>
                <w:szCs w:val="15"/>
                <w:highlight w:val="none"/>
                <w:lang w:val="en-US" w:eastAsia="zh-CN"/>
              </w:rPr>
              <w:t>2.</w:t>
            </w:r>
            <w:r>
              <w:rPr>
                <w:rFonts w:hint="default" w:ascii="Times New Roman" w:hAnsi="Times New Roman" w:eastAsia="宋体" w:cs="Times New Roman"/>
                <w:color w:val="000000"/>
                <w:kern w:val="2"/>
                <w:sz w:val="15"/>
                <w:szCs w:val="15"/>
                <w:highlight w:val="none"/>
                <w:vertAlign w:val="baseline"/>
                <w:lang w:val="en-US" w:eastAsia="zh-CN" w:bidi="ar-SA"/>
              </w:rPr>
              <w:t>讲座次数足够，资料不齐全扣1分；讲座少1次扣</w:t>
            </w:r>
            <w:r>
              <w:rPr>
                <w:rFonts w:hint="default" w:ascii="Times New Roman" w:hAnsi="Times New Roman" w:cs="Times New Roman"/>
                <w:color w:val="000000"/>
                <w:kern w:val="2"/>
                <w:sz w:val="15"/>
                <w:szCs w:val="15"/>
                <w:highlight w:val="none"/>
                <w:vertAlign w:val="baseline"/>
                <w:lang w:val="en-US" w:eastAsia="zh-CN" w:bidi="ar-SA"/>
              </w:rPr>
              <w:t>1</w:t>
            </w:r>
            <w:r>
              <w:rPr>
                <w:rFonts w:hint="default" w:ascii="Times New Roman" w:hAnsi="Times New Roman" w:eastAsia="宋体" w:cs="Times New Roman"/>
                <w:color w:val="000000"/>
                <w:kern w:val="2"/>
                <w:sz w:val="15"/>
                <w:szCs w:val="15"/>
                <w:highlight w:val="none"/>
                <w:vertAlign w:val="baseline"/>
                <w:lang w:val="en-US" w:eastAsia="zh-CN" w:bidi="ar-SA"/>
              </w:rPr>
              <w:t>分；</w:t>
            </w:r>
          </w:p>
          <w:p>
            <w:pPr>
              <w:pStyle w:val="4"/>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15"/>
                <w:szCs w:val="15"/>
                <w:highlight w:val="none"/>
                <w:vertAlign w:val="baseline"/>
                <w:lang w:val="en-US" w:eastAsia="zh-CN" w:bidi="ar-SA"/>
              </w:rPr>
            </w:pPr>
            <w:r>
              <w:rPr>
                <w:rFonts w:hint="default" w:ascii="Times New Roman" w:hAnsi="Times New Roman" w:cs="Times New Roman"/>
                <w:color w:val="000000"/>
                <w:kern w:val="2"/>
                <w:sz w:val="15"/>
                <w:szCs w:val="15"/>
                <w:highlight w:val="none"/>
                <w:vertAlign w:val="baseline"/>
                <w:lang w:val="en-US" w:eastAsia="zh-CN" w:bidi="ar-SA"/>
              </w:rPr>
              <w:t>3.</w:t>
            </w:r>
            <w:r>
              <w:rPr>
                <w:rFonts w:hint="default" w:ascii="Times New Roman" w:hAnsi="Times New Roman" w:eastAsia="宋体" w:cs="Times New Roman"/>
                <w:color w:val="000000"/>
                <w:kern w:val="2"/>
                <w:sz w:val="15"/>
                <w:szCs w:val="15"/>
                <w:highlight w:val="none"/>
                <w:vertAlign w:val="baseline"/>
                <w:lang w:val="en-US" w:eastAsia="zh-CN" w:bidi="ar-SA"/>
              </w:rPr>
              <w:t>讲座次数小于</w:t>
            </w:r>
            <w:r>
              <w:rPr>
                <w:rFonts w:hint="default" w:ascii="Times New Roman" w:hAnsi="Times New Roman" w:cs="Times New Roman"/>
                <w:color w:val="000000"/>
                <w:kern w:val="2"/>
                <w:sz w:val="15"/>
                <w:szCs w:val="15"/>
                <w:highlight w:val="none"/>
                <w:vertAlign w:val="baseline"/>
                <w:lang w:val="en-US" w:eastAsia="zh-CN" w:bidi="ar-SA"/>
              </w:rPr>
              <w:t>3</w:t>
            </w:r>
            <w:r>
              <w:rPr>
                <w:rFonts w:hint="default" w:ascii="Times New Roman" w:hAnsi="Times New Roman" w:eastAsia="宋体" w:cs="Times New Roman"/>
                <w:color w:val="000000"/>
                <w:kern w:val="2"/>
                <w:sz w:val="15"/>
                <w:szCs w:val="15"/>
                <w:highlight w:val="none"/>
                <w:vertAlign w:val="baseline"/>
                <w:lang w:val="en-US" w:eastAsia="zh-CN" w:bidi="ar-SA"/>
              </w:rPr>
              <w:t>次，不得分</w:t>
            </w:r>
            <w:r>
              <w:rPr>
                <w:rFonts w:hint="default" w:ascii="Times New Roman" w:hAnsi="Times New Roman" w:cs="Times New Roman"/>
                <w:color w:val="000000"/>
                <w:kern w:val="2"/>
                <w:sz w:val="15"/>
                <w:szCs w:val="15"/>
                <w:highlight w:val="none"/>
                <w:vertAlign w:val="baseline"/>
                <w:lang w:val="en-US" w:eastAsia="zh-CN" w:bidi="ar-SA"/>
              </w:rPr>
              <w:t>；若发现医务人员吸烟，扣2分。</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center"/>
              <w:textAlignment w:val="auto"/>
              <w:outlineLvl w:val="9"/>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eastAsia="宋体" w:cs="Times New Roman"/>
                <w:color w:val="000000"/>
                <w:sz w:val="15"/>
                <w:szCs w:val="15"/>
                <w:highlight w:val="none"/>
                <w:lang w:val="en-US" w:eastAsia="zh-CN"/>
              </w:rPr>
              <w:t>5</w:t>
            </w:r>
          </w:p>
        </w:tc>
      </w:tr>
    </w:tbl>
    <w:p/>
    <w:sectPr>
      <w:pgSz w:w="16838" w:h="11906" w:orient="landscape"/>
      <w:pgMar w:top="1587" w:right="1984" w:bottom="1474"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jAzNWRhNGM3MWI1MGMyOTE2ODI3NDU4OWNiMTcifQ=="/>
  </w:docVars>
  <w:rsids>
    <w:rsidRoot w:val="00000000"/>
    <w:rsid w:val="018E5FB4"/>
    <w:rsid w:val="12D3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Normal Indent"/>
    <w:basedOn w:val="1"/>
    <w:next w:val="1"/>
    <w:qFormat/>
    <w:uiPriority w:val="0"/>
    <w:pPr>
      <w:ind w:firstLine="200" w:firstLineChars="200"/>
    </w:pPr>
    <w:rPr>
      <w:rFonts w:ascii="Times New Roman" w:hAnsi="Times New Roman" w:eastAsia="宋体" w:cs="Times New Roman"/>
      <w:sz w:val="21"/>
      <w:szCs w:val="22"/>
    </w:rPr>
  </w:style>
  <w:style w:type="paragraph" w:styleId="5">
    <w:name w:val="HTML Preformatted"/>
    <w:basedOn w:val="1"/>
    <w:unhideWhenUsed/>
    <w:qFormat/>
    <w:uiPriority w:val="99"/>
    <w:pPr>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2152</Words>
  <Characters>2230</Characters>
  <Lines>0</Lines>
  <Paragraphs>0</Paragraphs>
  <TotalTime>0</TotalTime>
  <ScaleCrop>false</ScaleCrop>
  <LinksUpToDate>false</LinksUpToDate>
  <CharactersWithSpaces>2296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岁暮</cp:lastModifiedBy>
  <dcterms:modified xsi:type="dcterms:W3CDTF">2023-04-25T01:56:22Z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70E141E81AAB444FAAC3855D36206B7A_12</vt:lpwstr>
  </property>
</Properties>
</file>