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348"/>
        <w:gridCol w:w="1928"/>
        <w:gridCol w:w="944"/>
        <w:gridCol w:w="944"/>
        <w:gridCol w:w="944"/>
        <w:gridCol w:w="944"/>
        <w:gridCol w:w="944"/>
        <w:gridCol w:w="660"/>
        <w:gridCol w:w="930"/>
        <w:gridCol w:w="765"/>
        <w:gridCol w:w="1215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调查单位核查差错一览表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组织机构代码</w:t>
            </w: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详细名称</w:t>
            </w:r>
          </w:p>
        </w:tc>
        <w:tc>
          <w:tcPr>
            <w:tcW w:w="94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核查实际情况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统一社会信用代码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单位详细名称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详细地址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主要业务活动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行业代码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机构类型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登记注册类型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单位真实性错误（１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不存在；2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.3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月前已注吊销　3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单位类型界定错误（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1.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产业　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2.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个体　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3.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┅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7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备注：此件由各专业填完附件</w:t>
            </w:r>
            <w:r>
              <w:rPr>
                <w:rStyle w:val="9"/>
                <w:rFonts w:eastAsia="方正书宋_GBK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后，再根据核查情况，填写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有错误</w:t>
            </w:r>
            <w:r>
              <w:rPr>
                <w:rStyle w:val="10"/>
                <w:lang w:val="en-US" w:eastAsia="zh-CN" w:bidi="ar"/>
              </w:rPr>
              <w:t>的单位。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2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4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7">
    <w:name w:val="font6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Nimbus Roman No9 L" w:hAnsi="Nimbus Roman No9 L" w:eastAsia="Nimbus Roman No9 L" w:cs="Nimbus Roman No9 L"/>
      <w:color w:val="000000"/>
      <w:sz w:val="22"/>
      <w:szCs w:val="22"/>
      <w:u w:val="none"/>
    </w:rPr>
  </w:style>
  <w:style w:type="character" w:customStyle="1" w:styleId="9">
    <w:name w:val="font10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31"/>
    <w:basedOn w:val="4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2023-02-17T09:14:02Z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