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2023年各专业数据质量核查任务分配表</w:t>
      </w:r>
    </w:p>
    <w:tbl>
      <w:tblPr>
        <w:tblStyle w:val="5"/>
        <w:tblW w:w="88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675"/>
        <w:gridCol w:w="690"/>
        <w:gridCol w:w="570"/>
        <w:gridCol w:w="735"/>
        <w:gridCol w:w="1005"/>
        <w:gridCol w:w="795"/>
        <w:gridCol w:w="1125"/>
        <w:gridCol w:w="945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4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6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在库总数</w:t>
            </w:r>
          </w:p>
        </w:tc>
        <w:tc>
          <w:tcPr>
            <w:tcW w:w="69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正常报表</w:t>
            </w:r>
          </w:p>
        </w:tc>
        <w:tc>
          <w:tcPr>
            <w:tcW w:w="231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数据质量核查数量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入退库核查（%）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责任中心室</w:t>
            </w:r>
          </w:p>
        </w:tc>
        <w:tc>
          <w:tcPr>
            <w:tcW w:w="94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责任人员</w:t>
            </w:r>
          </w:p>
        </w:tc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94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1.一套表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2.数据质量核查</w:t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综合统计办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产业统计办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张佳磊、王晓丽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产业统计办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齐胤飞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综合统计办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柳萌萌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规模以下工业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综合统计办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石玮玮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资质外建筑业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产业统计办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限额以下批发零售住宿餐饮业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综合统计办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石玮玮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规模以下服务业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产业统计办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伏学洁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部分行业事业单位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产业统计办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伏学洁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非一套表劳动工资调查单位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普查中心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851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备注：1.一套表核查、入退库核查、数据质量核查可以同时进行，最终核查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底线任务量</w:t>
            </w:r>
            <w:r>
              <w:rPr>
                <w:rStyle w:val="6"/>
                <w:lang w:val="en-US" w:eastAsia="zh-CN" w:bidi="ar"/>
              </w:rPr>
              <w:t>以小计数为准；入退库专项核查为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2022年以来</w:t>
            </w:r>
            <w:r>
              <w:rPr>
                <w:rStyle w:val="6"/>
                <w:lang w:val="en-US" w:eastAsia="zh-CN" w:bidi="ar"/>
              </w:rPr>
              <w:t>的入退库单位和项目，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全面核查</w:t>
            </w:r>
            <w:r>
              <w:rPr>
                <w:rStyle w:val="6"/>
                <w:lang w:val="en-US" w:eastAsia="zh-CN" w:bidi="ar"/>
              </w:rPr>
              <w:t>，做好资料收集整理；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2.固定资产投资“一套表”调查单位核查为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除去</w:t>
            </w:r>
            <w:r>
              <w:rPr>
                <w:rStyle w:val="6"/>
                <w:lang w:val="en-US" w:eastAsia="zh-CN" w:bidi="ar"/>
              </w:rPr>
              <w:t>规模以上工业、具有资质的建筑业、房地产开发经营业、限额以上批发和零售业、限额以上住宿和餐饮业、规模以上服务业之外的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其他有5000万元</w:t>
            </w:r>
            <w:r>
              <w:rPr>
                <w:rStyle w:val="6"/>
                <w:lang w:val="en-US" w:eastAsia="zh-CN" w:bidi="ar"/>
              </w:rPr>
              <w:t>以上在建项目的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法人单位</w:t>
            </w:r>
            <w:r>
              <w:rPr>
                <w:rStyle w:val="6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3.上级统计部门的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月度查询</w:t>
            </w:r>
            <w:r>
              <w:rPr>
                <w:rStyle w:val="6"/>
                <w:lang w:val="en-US" w:eastAsia="zh-CN" w:bidi="ar"/>
              </w:rPr>
              <w:t>也可以统计在核查数量之内，注意所有核查都要填写数据质量核查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台账。</w:t>
            </w:r>
          </w:p>
        </w:tc>
      </w:tr>
    </w:tbl>
    <w:p>
      <w:pPr>
        <w:pStyle w:val="3"/>
        <w:jc w:val="both"/>
        <w:rPr>
          <w:rFonts w:hint="eastAsia" w:ascii="黑体" w:hAnsi="黑体" w:eastAsia="黑体" w:cs="黑体"/>
        </w:rPr>
        <w:sectPr>
          <w:headerReference r:id="rId3" w:type="first"/>
          <w:footerReference r:id="rId4" w:type="default"/>
          <w:pgSz w:w="11906" w:h="16838"/>
          <w:pgMar w:top="1984" w:right="1474" w:bottom="175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永中粗黑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left="210" w:leftChars="100" w:right="210" w:rightChars="10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210" w:leftChars="100" w:right="210" w:rightChars="10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9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7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2023-02-17T09:09:54Z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