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rPr>
          <w:rFonts w:ascii="仿宋_GB2312" w:eastAsia="仿宋_GB2312"/>
          <w:color w:val="000000"/>
        </w:rPr>
      </w:pPr>
    </w:p>
    <w:p>
      <w:pPr>
        <w:spacing w:line="300" w:lineRule="exact"/>
        <w:rPr>
          <w:rFonts w:ascii="仿宋_GB2312" w:eastAsia="仿宋_GB2312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2171700" cy="297180"/>
                <wp:effectExtent l="4445" t="4445" r="1460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1.2pt;height:23.4pt;width:171pt;z-index:251636736;mso-width-relative:page;mso-height-relative:page;" fillcolor="#FFFFFF" filled="t" stroked="t" coordsize="21600,21600" o:gfxdata="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cvlHZAAAACQEAAA8AAAAAAAAAAQAgAAAAIgAAAGRycy9kb3ducmV2Lnht&#10;bFBLAQIUABQAAAAIAIdO4kB0z5RW+AEAAPY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rPr>
          <w:rFonts w:ascii="仿宋_GB2312" w:eastAsia="仿宋_GB2312"/>
          <w:color w:val="000000"/>
          <w:sz w:val="24"/>
        </w:rPr>
      </w:pPr>
    </w:p>
    <w:p>
      <w:pPr>
        <w:spacing w:line="300" w:lineRule="exact"/>
        <w:rPr>
          <w:rFonts w:ascii="仿宋_GB2312" w:eastAsia="仿宋_GB2312"/>
          <w:color w:val="000000"/>
          <w:sz w:val="24"/>
        </w:rPr>
      </w:pPr>
    </w:p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jc w:val="center"/>
        <w:rPr>
          <w:rFonts w:ascii="仿宋_GB2312" w:hAnsi="宋体" w:eastAsia="仿宋_GB2312"/>
          <w:color w:val="000000"/>
          <w:sz w:val="52"/>
          <w:szCs w:val="52"/>
        </w:rPr>
      </w:pPr>
      <w:r>
        <w:rPr>
          <w:rFonts w:hint="eastAsia" w:ascii="仿宋_GB2312" w:hAnsi="宋体" w:eastAsia="仿宋_GB2312"/>
          <w:color w:val="000000"/>
          <w:sz w:val="52"/>
          <w:szCs w:val="52"/>
        </w:rPr>
        <w:t>修订统计调查项目申请书</w:t>
      </w:r>
    </w:p>
    <w:p>
      <w:pPr>
        <w:jc w:val="center"/>
        <w:rPr>
          <w:rFonts w:ascii="仿宋_GB2312" w:eastAsia="仿宋_GB2312"/>
          <w:color w:val="000000"/>
          <w:sz w:val="44"/>
        </w:rPr>
      </w:pPr>
    </w:p>
    <w:p>
      <w:pPr>
        <w:jc w:val="center"/>
        <w:rPr>
          <w:rFonts w:ascii="仿宋_GB2312" w:eastAsia="仿宋_GB2312"/>
          <w:color w:val="000000"/>
          <w:sz w:val="44"/>
        </w:rPr>
      </w:pPr>
    </w:p>
    <w:tbl>
      <w:tblPr>
        <w:tblStyle w:val="5"/>
        <w:tblW w:w="8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8" w:type="dxa"/>
            <w:gridSpan w:val="2"/>
          </w:tcPr>
          <w:p>
            <w:pPr>
              <w:ind w:firstLine="1575" w:firstLineChars="525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项目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制度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名称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u w:val="single"/>
                <w:bdr w:val="single" w:color="auto" w:sz="4" w:space="0"/>
              </w:rPr>
              <w:t xml:space="preserve">                       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u w:val="single"/>
                <w:bdr w:val="single" w:color="auto" w:sz="4" w:space="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8" w:type="dxa"/>
            <w:gridSpan w:val="2"/>
          </w:tcPr>
          <w:p>
            <w:pPr>
              <w:ind w:firstLine="1575" w:firstLineChars="525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8" w:type="dxa"/>
            <w:gridSpan w:val="2"/>
          </w:tcPr>
          <w:p>
            <w:pPr>
              <w:ind w:firstLine="1575" w:firstLineChars="525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原项目（制度）名称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6" w:type="dxa"/>
          <w:trHeight w:val="567" w:hRule="exact"/>
        </w:trPr>
        <w:tc>
          <w:tcPr>
            <w:tcW w:w="666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项目类别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国家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地方（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0"/>
              </w:rPr>
              <w:t xml:space="preserve">□统计局 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6" w:type="dxa"/>
          <w:trHeight w:val="567" w:hRule="exact"/>
        </w:trPr>
        <w:tc>
          <w:tcPr>
            <w:tcW w:w="666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申请单位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6" w:type="dxa"/>
          <w:trHeight w:val="567" w:hRule="exact"/>
        </w:trPr>
        <w:tc>
          <w:tcPr>
            <w:tcW w:w="666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负 责 人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6" w:type="dxa"/>
          <w:trHeight w:val="567" w:hRule="exact"/>
        </w:trPr>
        <w:tc>
          <w:tcPr>
            <w:tcW w:w="666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联 系 人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电话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6" w:type="dxa"/>
          <w:trHeight w:val="567" w:hRule="exact"/>
        </w:trPr>
        <w:tc>
          <w:tcPr>
            <w:tcW w:w="666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电子邮件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6" w:type="dxa"/>
          <w:trHeight w:val="567" w:hRule="exact"/>
        </w:trPr>
        <w:tc>
          <w:tcPr>
            <w:tcW w:w="666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申请日期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2"/>
          </w:tcPr>
          <w:p>
            <w:pPr>
              <w:ind w:firstLine="750" w:firstLineChars="250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中卫市沙坡头区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统计局制定</w:t>
      </w:r>
    </w:p>
    <w:p>
      <w:pPr>
        <w:spacing w:line="440" w:lineRule="exact"/>
        <w:jc w:val="center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二○一九年</w:t>
      </w:r>
      <w:r>
        <w:rPr>
          <w:rFonts w:ascii="仿宋_GB2312" w:eastAsia="仿宋_GB2312"/>
          <w:b/>
          <w:color w:val="000000"/>
          <w:sz w:val="36"/>
        </w:rPr>
        <w:br w:type="page"/>
      </w:r>
      <w:r>
        <w:rPr>
          <w:rFonts w:hint="eastAsia" w:ascii="仿宋_GB2312" w:hAnsi="宋体" w:eastAsia="仿宋_GB2312"/>
          <w:color w:val="000000"/>
          <w:sz w:val="24"/>
        </w:rPr>
        <w:t>一、修订基本情况</w:t>
      </w:r>
    </w:p>
    <w:tbl>
      <w:tblPr>
        <w:tblStyle w:val="5"/>
        <w:tblW w:w="9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修订变化幅度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重大变化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一般调整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新增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减少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报表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新增报表数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仿宋_GB2312" w:hAnsi="宋体" w:eastAsia="仿宋_GB2312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种（张表）  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减少报表数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种（张表）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其中：综合表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种（张表） 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其中:综合表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种（张表）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新增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减少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指标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新增指标数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个    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减少指标数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个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其中：综合表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个，  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其中:综合表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调查对象调整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原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调查对象：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企业法人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事业法人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机关法人   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社团法人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产业活动单位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居民住户及个人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个体经营户 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调整为：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企业法人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事业法人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机关法人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社团法人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产业活动单位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居民住户及个人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个体经营户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5.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调查范围调整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原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调查范围：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全区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部分市县（区）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范围调整为：□全区     □部分市县（区）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扩大调查网点        □调查网点不变        □减少调查网点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样本量增加          □样本量不变          □样本量减少</w:t>
            </w:r>
          </w:p>
          <w:p>
            <w:pPr>
              <w:spacing w:line="400" w:lineRule="exact"/>
              <w:ind w:firstLine="1260" w:firstLineChars="600"/>
              <w:rPr>
                <w:rFonts w:ascii="仿宋_GB2312" w:eastAsia="仿宋_GB2312"/>
                <w:color w:val="00000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</w:rPr>
              <w:t>预计调整调查单位数：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6.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调查频率调整</w:t>
            </w:r>
          </w:p>
        </w:tc>
        <w:tc>
          <w:tcPr>
            <w:tcW w:w="7563" w:type="dxa"/>
            <w:tcMar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原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调查频率：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旬报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月报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季报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半年报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年报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几年报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63" w:type="dxa"/>
            <w:tcMar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调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整  为：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旬报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月报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季报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半年报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年报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几年报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7.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调查方法调整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原调查方法：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调  整  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8.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报送单位调整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原报送单位：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调  整  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9.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数据处理软件调整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原数据处理软件：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调    整    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10.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汇总方式调整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原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汇总方式</w:t>
            </w:r>
            <w:r>
              <w:rPr>
                <w:rFonts w:hint="eastAsia" w:ascii="仿宋_GB2312" w:eastAsia="仿宋_GB2312"/>
                <w:color w:val="000000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逐级汇总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</w:rPr>
              <w:t xml:space="preserve">超级汇总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    </w:t>
            </w:r>
            <w:r>
              <w:rPr>
                <w:rFonts w:ascii="仿宋_GB2312" w:hAnsi="宋体" w:eastAsia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</w:rPr>
              <w:t>调  整  为：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逐级汇总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 xml:space="preserve">超级汇总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    </w:t>
            </w:r>
            <w:r>
              <w:rPr>
                <w:rFonts w:ascii="仿宋_GB2312" w:hAnsi="宋体" w:eastAsia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11.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数据使用范围调整</w:t>
            </w: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原使用范围</w:t>
            </w:r>
            <w:r>
              <w:rPr>
                <w:rFonts w:ascii="仿宋_GB2312" w:eastAsia="仿宋_GB2312"/>
                <w:color w:val="000000"/>
              </w:rPr>
              <w:t>:</w:t>
            </w:r>
            <w:r>
              <w:rPr>
                <w:rFonts w:hint="eastAsia" w:ascii="仿宋_GB2312" w:eastAsia="仿宋_GB2312"/>
                <w:color w:val="000000"/>
              </w:rPr>
              <w:t>□本部门使用     □可向其他部门提供     □可向社会公众提供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63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调  整  为</w:t>
            </w:r>
            <w:r>
              <w:rPr>
                <w:rFonts w:ascii="仿宋_GB2312" w:eastAsia="仿宋_GB2312"/>
                <w:color w:val="000000"/>
              </w:rPr>
              <w:t>:</w:t>
            </w:r>
            <w:r>
              <w:rPr>
                <w:rFonts w:hint="eastAsia" w:ascii="仿宋_GB2312" w:eastAsia="仿宋_GB2312"/>
                <w:color w:val="000000"/>
              </w:rPr>
              <w:t>□本部门使用     □可向其他部门提供     □可向社会公众提供</w:t>
            </w:r>
          </w:p>
        </w:tc>
      </w:tr>
    </w:tbl>
    <w:p>
      <w:pPr>
        <w:ind w:left="-540" w:leftChars="-257" w:firstLine="120" w:firstLineChars="50"/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br w:type="page"/>
      </w:r>
      <w:r>
        <w:rPr>
          <w:rFonts w:hint="eastAsia" w:ascii="仿宋_GB2312" w:hAnsi="宋体" w:eastAsia="仿宋_GB2312"/>
          <w:color w:val="000000"/>
          <w:sz w:val="24"/>
        </w:rPr>
        <w:t>二、统计调查项目修订可行性研究报告</w:t>
      </w:r>
    </w:p>
    <w:tbl>
      <w:tblPr>
        <w:tblStyle w:val="5"/>
        <w:tblW w:w="99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0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包括：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修订论证：阐明修订原因、依据、修订的必要性、可行性和科学性。阐明修订后的调查内容与其他统计调查是否存在重复或交叉的问题。重要修订统计调查项目要附专家咨询意见。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修订内容论证：阐明修订后的统计调查内容是否更加简明扼要、科学合理、规范，调查工作量的增减对经费和原数据产生的影响等。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修订的主要内容，包括报表和指标的修订。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8" w:hRule="atLeast"/>
          <w:jc w:val="center"/>
        </w:trPr>
        <w:tc>
          <w:tcPr>
            <w:tcW w:w="990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三、调查资料公开情况说明</w:t>
      </w:r>
    </w:p>
    <w:tbl>
      <w:tblPr>
        <w:tblStyle w:val="5"/>
        <w:tblW w:w="9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5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有无不宜公开内容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</w:rPr>
              <w:t>有（请在下表内详细说明）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9893" w:type="dxa"/>
            <w:gridSpan w:val="2"/>
            <w:vAlign w:val="bottom"/>
          </w:tcPr>
          <w:p>
            <w:pPr>
              <w:spacing w:line="560" w:lineRule="exact"/>
              <w:ind w:firstLine="1680" w:firstLineChars="8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申请单位领导签字：       年      月 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474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fWQwUAgAAFQQAAA4AAABkcnMvZTJvRG9jLnhtbK1Ty47TMBTdI/EP&#10;lvc0aYGq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qyklmins6Pzt6/n74/nHFwIdAGqtn8Nva+EZujemw6IHvYcyzt1V&#10;TsUbExHYAfXpCq/oAuExaDaZzXKYOGzDA/mzp3DrfHgrjCJRKKjD/hKs7LjxoXcdXGI1bdaNlGmH&#10;UpO2oNOXr/M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V9ZD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9D2"/>
    <w:multiLevelType w:val="multilevel"/>
    <w:tmpl w:val="01CE79D2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26DC"/>
    <w:rsid w:val="4375283B"/>
    <w:rsid w:val="623F1C2A"/>
    <w:rsid w:val="76C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xl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cs="Century"/>
      <w:kern w:val="0"/>
      <w:sz w:val="18"/>
      <w:szCs w:val="18"/>
    </w:rPr>
  </w:style>
  <w:style w:type="paragraph" w:customStyle="1" w:styleId="7">
    <w:name w:val="局发文正文"/>
    <w:basedOn w:val="1"/>
    <w:qFormat/>
    <w:uiPriority w:val="99"/>
    <w:pPr>
      <w:adjustRightInd w:val="0"/>
      <w:spacing w:line="600" w:lineRule="atLeast"/>
      <w:ind w:firstLine="200" w:firstLineChars="200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2019-12-06T04:33:00Z</dcterms:created>
  <dc:creator>王学艳</dc:creator>
  <cp:lastModifiedBy>燕燕于飞</cp:lastModifiedBy>
  <dcterms:modified xsi:type="dcterms:W3CDTF">2019-12-28T06:41:35Z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