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300" w:lineRule="exact"/>
        <w:rPr>
          <w:rFonts w:ascii="仿宋_GB2312" w:hAnsi="宋体" w:eastAsia="仿宋_GB2312"/>
          <w:color w:val="000000"/>
          <w:sz w:val="52"/>
          <w:szCs w:val="52"/>
        </w:rPr>
      </w:pPr>
    </w:p>
    <w:p>
      <w:pPr>
        <w:spacing w:line="300" w:lineRule="exact"/>
        <w:rPr>
          <w:rFonts w:ascii="仿宋_GB2312" w:hAnsi="宋体" w:eastAsia="仿宋_GB2312"/>
          <w:color w:val="000000"/>
          <w:sz w:val="52"/>
          <w:szCs w:val="5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81280</wp:posOffset>
                </wp:positionV>
                <wp:extent cx="2057400" cy="297180"/>
                <wp:effectExtent l="4445" t="4445" r="1460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6.4pt;height:23.4pt;width:162pt;z-index:251635712;mso-width-relative:page;mso-height-relative:page;" fillcolor="#FFFFFF" filled="t" stroked="t" coordsize="21600,21600" o:gfxdata="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FPhmXYAAAACQEAAA8AAAAAAAAAAQAgAAAAIgAAAGRycy9kb3ducmV2LnhtbFBL&#10;AQIUABQAAAAIAIdO4kCSn2UJ9gEAAPY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rPr>
          <w:rFonts w:ascii="仿宋_GB2312" w:hAnsi="宋体" w:eastAsia="仿宋_GB2312"/>
          <w:color w:val="000000"/>
          <w:sz w:val="52"/>
          <w:szCs w:val="52"/>
        </w:rPr>
      </w:pPr>
    </w:p>
    <w:p>
      <w:pPr>
        <w:spacing w:line="300" w:lineRule="exact"/>
        <w:rPr>
          <w:rFonts w:ascii="仿宋_GB2312" w:hAnsi="宋体" w:eastAsia="仿宋_GB2312"/>
          <w:color w:val="000000"/>
          <w:sz w:val="52"/>
          <w:szCs w:val="52"/>
        </w:rPr>
      </w:pPr>
    </w:p>
    <w:p>
      <w:pPr>
        <w:spacing w:line="300" w:lineRule="exact"/>
        <w:rPr>
          <w:rFonts w:ascii="仿宋_GB2312" w:hAnsi="宋体" w:eastAsia="仿宋_GB2312"/>
          <w:color w:val="000000"/>
          <w:sz w:val="52"/>
          <w:szCs w:val="52"/>
        </w:rPr>
      </w:pPr>
    </w:p>
    <w:p>
      <w:pPr>
        <w:spacing w:line="300" w:lineRule="exact"/>
        <w:rPr>
          <w:rFonts w:ascii="仿宋_GB2312" w:hAnsi="宋体" w:eastAsia="仿宋_GB2312"/>
          <w:color w:val="000000"/>
          <w:sz w:val="52"/>
          <w:szCs w:val="52"/>
        </w:rPr>
      </w:pPr>
    </w:p>
    <w:p>
      <w:pPr>
        <w:spacing w:line="300" w:lineRule="exact"/>
        <w:rPr>
          <w:rFonts w:ascii="仿宋_GB2312" w:hAnsi="宋体" w:eastAsia="仿宋_GB2312"/>
          <w:color w:val="000000"/>
          <w:sz w:val="52"/>
          <w:szCs w:val="52"/>
        </w:rPr>
      </w:pPr>
    </w:p>
    <w:p>
      <w:pPr>
        <w:jc w:val="center"/>
        <w:rPr>
          <w:rFonts w:ascii="仿宋_GB2312" w:hAnsi="宋体" w:eastAsia="仿宋_GB2312"/>
          <w:color w:val="000000"/>
          <w:sz w:val="52"/>
          <w:szCs w:val="52"/>
        </w:rPr>
      </w:pPr>
      <w:r>
        <w:rPr>
          <w:rFonts w:hint="eastAsia" w:ascii="仿宋_GB2312" w:hAnsi="宋体" w:eastAsia="仿宋_GB2312"/>
          <w:color w:val="000000"/>
          <w:sz w:val="52"/>
          <w:szCs w:val="52"/>
        </w:rPr>
        <w:t>新增统计调查项目申请书</w:t>
      </w:r>
    </w:p>
    <w:p>
      <w:pPr>
        <w:jc w:val="center"/>
        <w:rPr>
          <w:rFonts w:ascii="仿宋_GB2312" w:eastAsia="仿宋_GB2312"/>
          <w:color w:val="000000"/>
          <w:sz w:val="44"/>
        </w:rPr>
      </w:pPr>
    </w:p>
    <w:p>
      <w:pPr>
        <w:rPr>
          <w:rFonts w:ascii="仿宋_GB2312" w:eastAsia="仿宋_GB2312"/>
          <w:color w:val="000000"/>
          <w:sz w:val="44"/>
        </w:rPr>
      </w:pPr>
    </w:p>
    <w:tbl>
      <w:tblPr>
        <w:tblStyle w:val="5"/>
        <w:tblW w:w="6804" w:type="dxa"/>
        <w:tblInd w:w="1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项目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制度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名称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项目类别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国家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地方（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统计局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申请单位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负 责 人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联 系 人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电子邮件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申请日期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04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left="1614" w:leftChars="765" w:hanging="8" w:hangingChars="3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中卫市沙坡头区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统计局制定</w:t>
      </w:r>
    </w:p>
    <w:p>
      <w:pPr>
        <w:spacing w:line="600" w:lineRule="exact"/>
        <w:jc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二○一九年</w:t>
      </w:r>
      <w:r>
        <w:rPr>
          <w:rFonts w:ascii="仿宋_GB2312" w:eastAsia="仿宋_GB2312"/>
          <w:b/>
          <w:color w:val="000000"/>
          <w:sz w:val="36"/>
        </w:rPr>
        <w:br w:type="page"/>
      </w:r>
      <w:r>
        <w:rPr>
          <w:rFonts w:hint="eastAsia" w:ascii="仿宋_GB2312" w:hAnsi="宋体" w:eastAsia="仿宋_GB2312"/>
          <w:color w:val="000000"/>
          <w:sz w:val="24"/>
        </w:rPr>
        <w:t>一、项目基本情况</w:t>
      </w:r>
    </w:p>
    <w:tbl>
      <w:tblPr>
        <w:tblStyle w:val="5"/>
        <w:tblW w:w="9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7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调查项目</w:t>
            </w:r>
          </w:p>
        </w:tc>
        <w:tc>
          <w:tcPr>
            <w:tcW w:w="7714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项目类别：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审批类   </w:t>
            </w:r>
            <w:r>
              <w:rPr>
                <w:rFonts w:ascii="仿宋_GB2312" w:eastAsia="仿宋_GB2312"/>
                <w:color w:val="000000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备案类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调查种类</w:t>
            </w:r>
          </w:p>
        </w:tc>
        <w:tc>
          <w:tcPr>
            <w:tcW w:w="7714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按周期分：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普查   </w:t>
            </w:r>
            <w:r>
              <w:rPr>
                <w:rFonts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常规调查    </w:t>
            </w:r>
            <w:r>
              <w:rPr>
                <w:rFonts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专项（一次性）调查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1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按调查主体分：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自主调查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联合调查 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委托调查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委托单位名称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调查对象</w:t>
            </w:r>
          </w:p>
        </w:tc>
        <w:tc>
          <w:tcPr>
            <w:tcW w:w="771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企业法人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事业法人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机关法人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社团法人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产业活动单位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居民住户及个人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个体经营户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调查范围</w:t>
            </w:r>
          </w:p>
        </w:tc>
        <w:tc>
          <w:tcPr>
            <w:tcW w:w="771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全区       </w:t>
            </w:r>
            <w:r>
              <w:rPr>
                <w:rFonts w:ascii="仿宋_GB2312" w:eastAsia="仿宋_GB2312"/>
                <w:color w:val="00000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部分市县（区）   </w:t>
            </w:r>
            <w:r>
              <w:rPr>
                <w:rFonts w:ascii="仿宋_GB2312" w:eastAsia="仿宋_GB2312"/>
                <w:color w:val="000000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其他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预计调查单位数</w:t>
            </w:r>
            <w:r>
              <w:rPr>
                <w:rFonts w:ascii="仿宋_GB2312" w:eastAsia="仿宋_GB2312"/>
                <w:color w:val="000000"/>
              </w:rPr>
              <w:t>__________</w:t>
            </w: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5.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报表种类</w:t>
            </w:r>
          </w:p>
        </w:tc>
        <w:tc>
          <w:tcPr>
            <w:tcW w:w="7714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基层表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种（张表）            </w:t>
            </w:r>
            <w:r>
              <w:rPr>
                <w:rFonts w:ascii="仿宋_GB2312" w:hAnsi="宋体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综合表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</w:rPr>
              <w:t>种（张表）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调查方法</w:t>
            </w:r>
          </w:p>
        </w:tc>
        <w:tc>
          <w:tcPr>
            <w:tcW w:w="7714" w:type="dxa"/>
            <w:tcMar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全数调查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抽样调查 </w:t>
            </w:r>
            <w:r>
              <w:rPr>
                <w:rFonts w:ascii="仿宋_GB2312" w:eastAsia="仿宋_GB2312"/>
                <w:color w:val="00000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重点调查    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7.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调查频率</w:t>
            </w:r>
          </w:p>
        </w:tc>
        <w:tc>
          <w:tcPr>
            <w:tcW w:w="7714" w:type="dxa"/>
            <w:tcMar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一次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多次  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旬报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月报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季报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半年报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几年报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8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报送单位</w:t>
            </w:r>
          </w:p>
        </w:tc>
        <w:tc>
          <w:tcPr>
            <w:tcW w:w="771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调查对象       </w:t>
            </w:r>
            <w:r>
              <w:rPr>
                <w:rFonts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统计局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调查队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部门（协会）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9.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汇总方式</w:t>
            </w:r>
          </w:p>
        </w:tc>
        <w:tc>
          <w:tcPr>
            <w:tcW w:w="7714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逐级汇总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超级汇总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  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961" w:type="dxa"/>
            <w:tcMar>
              <w:left w:w="28" w:type="dxa"/>
              <w:right w:w="0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10.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数据处理软件</w:t>
            </w:r>
          </w:p>
        </w:tc>
        <w:tc>
          <w:tcPr>
            <w:tcW w:w="7714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单独开发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11.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数据使用范围</w:t>
            </w:r>
          </w:p>
        </w:tc>
        <w:tc>
          <w:tcPr>
            <w:tcW w:w="7714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本部门使用    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可向其他部门提供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可向社会公众提供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12.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数据衔接性</w:t>
            </w:r>
          </w:p>
        </w:tc>
        <w:tc>
          <w:tcPr>
            <w:tcW w:w="771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无历史数据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与历史数据衔接      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部分数据与历史数据衔接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与历史数据不衔接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13.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调查经费</w:t>
            </w:r>
          </w:p>
        </w:tc>
        <w:tc>
          <w:tcPr>
            <w:tcW w:w="7714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经费来源：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 xml:space="preserve">中央财政经费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 xml:space="preserve">地方财政经费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 xml:space="preserve">其他经费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无经费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经费数量：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</w:rPr>
              <w:t>万元         其中：下拨经费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/>
              </w:rPr>
              <w:t>万元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分配方案：</w:t>
            </w:r>
            <w:r>
              <w:rPr>
                <w:rFonts w:ascii="仿宋_GB2312" w:eastAsia="仿宋_GB2312"/>
                <w:color w:val="000000"/>
              </w:rPr>
              <w:t>_________________________________________________________</w:t>
            </w:r>
          </w:p>
        </w:tc>
      </w:tr>
    </w:tbl>
    <w:p>
      <w:pPr>
        <w:ind w:firstLine="140" w:firstLineChars="50"/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8"/>
        </w:rPr>
        <w:br w:type="page"/>
      </w:r>
      <w:r>
        <w:rPr>
          <w:rFonts w:hint="eastAsia" w:ascii="仿宋_GB2312" w:hAnsi="宋体" w:eastAsia="仿宋_GB2312"/>
          <w:color w:val="000000"/>
          <w:sz w:val="24"/>
        </w:rPr>
        <w:t>二、统计调查项目可行性研究报告</w:t>
      </w:r>
    </w:p>
    <w:tbl>
      <w:tblPr>
        <w:tblStyle w:val="5"/>
        <w:tblW w:w="9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包括：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立项论证：阐明立项是否符合已定的职能分工范围，立项依据、调查目的、调查资料的使用范围和服务对象，调查内容与其他统计调查是否存在重复或交叉的问题，阐明统计资料的来源等。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调查内容论证：包括统计调查对象、范围、方法、内容、组织方式、指标体系、样本量、调查表式、统计资料的报送和公布、统计分类、统计单位、计量单位和数据格式等。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调查经费论证：阐明调查经费来源、金额数量及具体分配方案。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4.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专家论证：重大重要统计调查项目外部专家评审意见。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5.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其他省市区同类调查情况。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  <w:jc w:val="center"/>
        </w:trPr>
        <w:tc>
          <w:tcPr>
            <w:tcW w:w="9893" w:type="dxa"/>
            <w:vAlign w:val="bottom"/>
          </w:tcPr>
          <w:p>
            <w:pPr>
              <w:spacing w:line="560" w:lineRule="exact"/>
              <w:ind w:firstLine="1680" w:firstLineChars="800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400" w:lineRule="exact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三、调查资料公开情况说明</w:t>
      </w:r>
    </w:p>
    <w:tbl>
      <w:tblPr>
        <w:tblStyle w:val="5"/>
        <w:tblW w:w="9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5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有无不宜公开内容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有（请在下表内详细说明）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9893" w:type="dxa"/>
            <w:gridSpan w:val="2"/>
            <w:vAlign w:val="bottom"/>
          </w:tcPr>
          <w:p>
            <w:pPr>
              <w:spacing w:line="560" w:lineRule="exact"/>
              <w:ind w:firstLine="1680" w:firstLineChars="800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rPr>
          <w:color w:val="000000"/>
        </w:rPr>
      </w:pPr>
      <w:r>
        <w:rPr>
          <w:rFonts w:hint="eastAsia" w:ascii="仿宋_GB2312" w:eastAsia="仿宋_GB2312"/>
          <w:color w:val="000000"/>
        </w:rPr>
        <w:t xml:space="preserve">申请单位领导签字：                                                  年  </w:t>
      </w:r>
      <w:r>
        <w:rPr>
          <w:rFonts w:ascii="仿宋_GB2312" w:eastAsia="仿宋_GB2312"/>
          <w:color w:val="000000"/>
        </w:rPr>
        <w:t xml:space="preserve">  </w:t>
      </w:r>
      <w:r>
        <w:rPr>
          <w:rFonts w:hint="eastAsia" w:ascii="仿宋_GB2312" w:eastAsia="仿宋_GB2312"/>
          <w:color w:val="000000"/>
        </w:rPr>
        <w:t xml:space="preserve">月 </w:t>
      </w:r>
      <w:r>
        <w:rPr>
          <w:rFonts w:ascii="仿宋_GB2312" w:eastAsia="仿宋_GB2312"/>
          <w:color w:val="000000"/>
        </w:rPr>
        <w:t xml:space="preserve">   </w:t>
      </w:r>
      <w:r>
        <w:rPr>
          <w:rFonts w:hint="eastAsia" w:ascii="仿宋_GB2312" w:eastAsia="仿宋_GB2312"/>
          <w:color w:val="000000"/>
        </w:rPr>
        <w:t>日</w:t>
      </w: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  <w:bookmarkStart w:id="0" w:name="_GoBack"/>
      <w:bookmarkEnd w:id="0"/>
    </w:p>
    <w:p>
      <w:pPr>
        <w:spacing w:line="360" w:lineRule="exact"/>
        <w:rPr>
          <w:rFonts w:eastAsia="仿宋_GB2312"/>
          <w:color w:val="000000"/>
          <w:sz w:val="28"/>
        </w:rPr>
      </w:pPr>
    </w:p>
    <w:p/>
    <w:sectPr>
      <w:footerReference r:id="rId3" w:type="default"/>
      <w:pgSz w:w="11906" w:h="16838"/>
      <w:pgMar w:top="1984" w:right="1474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fWQwUAgAAFQQAAA4AAABkcnMvZTJvRG9jLnhtbK1Ty47TMBTdI/EP&#10;lvc0aYGq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qyklmins6Pzt6/n74/nHFwIdAGqtn8Nva+EZujemw6IHvYcyzt1V&#10;TsUbExHYAfXpCq/oAuExaDaZzXKYOGzDA/mzp3DrfHgrjCJRKKjD/hKs7LjxoXcdXGI1bdaNlGmH&#10;UpO2oNOXr/M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V9ZD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26DC"/>
    <w:rsid w:val="4375283B"/>
    <w:rsid w:val="70637B6B"/>
    <w:rsid w:val="76C926DC"/>
    <w:rsid w:val="7A5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cs="Century"/>
      <w:kern w:val="0"/>
      <w:sz w:val="18"/>
      <w:szCs w:val="18"/>
    </w:rPr>
  </w:style>
  <w:style w:type="paragraph" w:customStyle="1" w:styleId="7">
    <w:name w:val="局发文正文"/>
    <w:basedOn w:val="1"/>
    <w:qFormat/>
    <w:uiPriority w:val="99"/>
    <w:pPr>
      <w:adjustRightInd w:val="0"/>
      <w:spacing w:line="600" w:lineRule="atLeast"/>
      <w:ind w:firstLine="200" w:firstLineChars="200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2019-12-06T04:33:00Z</dcterms:created>
  <dc:creator>王学艳</dc:creator>
  <cp:lastModifiedBy>燕燕于飞</cp:lastModifiedBy>
  <dcterms:modified xsi:type="dcterms:W3CDTF">2019-12-28T06:44:33Z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