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eastAsia="zh-CN"/>
        </w:rPr>
        <w:t>中卫市沙坡头水务局</w:t>
      </w:r>
    </w:p>
    <w:p>
      <w:pPr>
        <w:spacing w:line="560" w:lineRule="exact"/>
        <w:jc w:val="center"/>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rPr>
        <w:t>行政执法主体资格</w:t>
      </w:r>
      <w:r>
        <w:rPr>
          <w:rFonts w:hint="eastAsia" w:ascii="方正小标宋_GBK" w:hAnsi="方正小标宋_GBK" w:eastAsia="方正小标宋_GBK" w:cs="方正小标宋_GBK"/>
          <w:sz w:val="44"/>
          <w:szCs w:val="44"/>
          <w:lang w:eastAsia="zh-CN"/>
        </w:rPr>
        <w:t>清单</w:t>
      </w:r>
    </w:p>
    <w:p>
      <w:pPr>
        <w:spacing w:line="560" w:lineRule="exact"/>
        <w:jc w:val="center"/>
        <w:rPr>
          <w:rFonts w:ascii="楷体" w:hAnsi="楷体" w:eastAsia="楷体" w:cs="仿宋_GB2312"/>
          <w:sz w:val="32"/>
          <w:szCs w:val="32"/>
        </w:rPr>
      </w:pPr>
      <w:r>
        <w:rPr>
          <w:rFonts w:hint="eastAsia" w:ascii="楷体" w:hAnsi="楷体" w:eastAsia="楷体" w:cs="仿宋_GB2312"/>
          <w:sz w:val="32"/>
          <w:szCs w:val="32"/>
        </w:rPr>
        <w:t>（行政机关）</w:t>
      </w:r>
    </w:p>
    <w:tbl>
      <w:tblPr>
        <w:tblStyle w:val="6"/>
        <w:tblW w:w="87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70"/>
        <w:gridCol w:w="750"/>
        <w:gridCol w:w="420"/>
        <w:gridCol w:w="90"/>
        <w:gridCol w:w="645"/>
        <w:gridCol w:w="675"/>
        <w:gridCol w:w="750"/>
        <w:gridCol w:w="660"/>
        <w:gridCol w:w="750"/>
        <w:gridCol w:w="289"/>
        <w:gridCol w:w="356"/>
        <w:gridCol w:w="532"/>
        <w:gridCol w:w="446"/>
        <w:gridCol w:w="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9" w:hRule="atLeast"/>
          <w:jc w:val="center"/>
        </w:trPr>
        <w:tc>
          <w:tcPr>
            <w:tcW w:w="1770" w:type="dxa"/>
            <w:vAlign w:val="center"/>
          </w:tcPr>
          <w:p>
            <w:pPr>
              <w:spacing w:line="0" w:lineRule="atLeast"/>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单位</w:t>
            </w:r>
          </w:p>
          <w:p>
            <w:pPr>
              <w:spacing w:line="0" w:lineRule="atLeast"/>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名称</w:t>
            </w:r>
          </w:p>
        </w:tc>
        <w:tc>
          <w:tcPr>
            <w:tcW w:w="2580" w:type="dxa"/>
            <w:gridSpan w:val="5"/>
            <w:vAlign w:val="center"/>
          </w:tcPr>
          <w:p>
            <w:pPr>
              <w:spacing w:line="0" w:lineRule="atLeast"/>
              <w:jc w:val="center"/>
              <w:rPr>
                <w:rFonts w:hint="eastAsia" w:ascii="仿宋_GB2312" w:hAnsi="仿宋_GB2312" w:eastAsia="仿宋_GB2312" w:cs="仿宋_GB2312"/>
                <w:kern w:val="0"/>
                <w:sz w:val="20"/>
                <w:szCs w:val="21"/>
                <w:lang w:val="en-US" w:eastAsia="zh-CN"/>
              </w:rPr>
            </w:pPr>
            <w:r>
              <w:rPr>
                <w:rFonts w:hint="eastAsia" w:ascii="仿宋_GB2312" w:hAnsi="仿宋_GB2312" w:eastAsia="仿宋_GB2312" w:cs="仿宋_GB2312"/>
                <w:kern w:val="0"/>
                <w:sz w:val="20"/>
                <w:szCs w:val="21"/>
                <w:lang w:eastAsia="zh-CN"/>
              </w:rPr>
              <w:t>中卫市沙坡头区水务局</w:t>
            </w:r>
          </w:p>
        </w:tc>
        <w:tc>
          <w:tcPr>
            <w:tcW w:w="1410" w:type="dxa"/>
            <w:gridSpan w:val="2"/>
            <w:vAlign w:val="center"/>
          </w:tcPr>
          <w:p>
            <w:pPr>
              <w:spacing w:line="0" w:lineRule="atLeast"/>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单位地址</w:t>
            </w:r>
          </w:p>
        </w:tc>
        <w:tc>
          <w:tcPr>
            <w:tcW w:w="2940" w:type="dxa"/>
            <w:gridSpan w:val="6"/>
            <w:vAlign w:val="center"/>
          </w:tcPr>
          <w:p>
            <w:pPr>
              <w:spacing w:line="0" w:lineRule="atLeast"/>
              <w:jc w:val="center"/>
              <w:rPr>
                <w:rFonts w:hint="default" w:ascii="仿宋_GB2312" w:hAnsi="仿宋_GB2312" w:eastAsia="仿宋_GB2312" w:cs="仿宋_GB2312"/>
                <w:kern w:val="0"/>
                <w:sz w:val="20"/>
                <w:szCs w:val="21"/>
                <w:lang w:val="en-US" w:eastAsia="zh-CN"/>
              </w:rPr>
            </w:pPr>
            <w:r>
              <w:rPr>
                <w:rFonts w:hint="eastAsia" w:ascii="仿宋_GB2312" w:hAnsi="仿宋_GB2312" w:eastAsia="仿宋_GB2312" w:cs="仿宋_GB2312"/>
                <w:kern w:val="0"/>
                <w:sz w:val="20"/>
                <w:szCs w:val="21"/>
                <w:lang w:eastAsia="zh-CN"/>
              </w:rPr>
              <w:t>沙坡头区文萃南街</w:t>
            </w:r>
            <w:r>
              <w:rPr>
                <w:rFonts w:hint="eastAsia" w:ascii="仿宋_GB2312" w:hAnsi="仿宋_GB2312" w:eastAsia="仿宋_GB2312" w:cs="仿宋_GB2312"/>
                <w:kern w:val="0"/>
                <w:sz w:val="20"/>
                <w:szCs w:val="21"/>
                <w:lang w:val="en-US" w:eastAsia="zh-CN"/>
              </w:rPr>
              <w:t>129号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7" w:hRule="atLeast"/>
          <w:jc w:val="center"/>
        </w:trPr>
        <w:tc>
          <w:tcPr>
            <w:tcW w:w="1770" w:type="dxa"/>
            <w:vAlign w:val="center"/>
          </w:tcPr>
          <w:p>
            <w:pPr>
              <w:spacing w:line="0" w:lineRule="atLeast"/>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法定代表人</w:t>
            </w:r>
          </w:p>
        </w:tc>
        <w:tc>
          <w:tcPr>
            <w:tcW w:w="2580" w:type="dxa"/>
            <w:gridSpan w:val="5"/>
            <w:vAlign w:val="center"/>
          </w:tcPr>
          <w:p>
            <w:pPr>
              <w:spacing w:line="0" w:lineRule="atLeast"/>
              <w:jc w:val="center"/>
              <w:rPr>
                <w:rFonts w:hint="eastAsia" w:ascii="仿宋_GB2312" w:hAnsi="仿宋_GB2312" w:eastAsia="仿宋_GB2312" w:cs="仿宋_GB2312"/>
                <w:kern w:val="0"/>
                <w:sz w:val="20"/>
                <w:szCs w:val="21"/>
                <w:lang w:eastAsia="zh-CN"/>
              </w:rPr>
            </w:pPr>
            <w:r>
              <w:rPr>
                <w:rFonts w:hint="eastAsia" w:ascii="仿宋_GB2312" w:hAnsi="仿宋_GB2312" w:eastAsia="仿宋_GB2312" w:cs="仿宋_GB2312"/>
                <w:kern w:val="0"/>
                <w:sz w:val="20"/>
                <w:szCs w:val="21"/>
                <w:lang w:eastAsia="zh-CN"/>
              </w:rPr>
              <w:t>张红涛</w:t>
            </w:r>
          </w:p>
        </w:tc>
        <w:tc>
          <w:tcPr>
            <w:tcW w:w="1410" w:type="dxa"/>
            <w:gridSpan w:val="2"/>
            <w:vAlign w:val="center"/>
          </w:tcPr>
          <w:p>
            <w:pPr>
              <w:spacing w:line="0" w:lineRule="atLeast"/>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组织机构代码证号</w:t>
            </w:r>
          </w:p>
        </w:tc>
        <w:tc>
          <w:tcPr>
            <w:tcW w:w="2940" w:type="dxa"/>
            <w:gridSpan w:val="6"/>
            <w:vAlign w:val="center"/>
          </w:tcPr>
          <w:p>
            <w:pPr>
              <w:keepNext w:val="0"/>
              <w:keepLines w:val="0"/>
              <w:widowControl/>
              <w:suppressLineNumbers w:val="0"/>
              <w:jc w:val="center"/>
              <w:rPr>
                <w:rFonts w:hint="default" w:ascii="仿宋_GB2312" w:hAnsi="仿宋_GB2312" w:eastAsia="仿宋_GB2312" w:cs="仿宋_GB2312"/>
                <w:kern w:val="0"/>
                <w:sz w:val="20"/>
                <w:szCs w:val="21"/>
                <w:lang w:val="en-US" w:eastAsia="zh-CN"/>
              </w:rPr>
            </w:pPr>
            <w:r>
              <w:rPr>
                <w:rFonts w:hint="eastAsia" w:ascii="仿宋_GB2312" w:hAnsi="仿宋_GB2312" w:eastAsia="仿宋_GB2312" w:cs="仿宋_GB2312"/>
                <w:kern w:val="0"/>
                <w:sz w:val="20"/>
                <w:szCs w:val="21"/>
                <w:lang w:val="en-US" w:eastAsia="zh-CN"/>
              </w:rPr>
              <w:t>11642300MB0203123X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3" w:hRule="atLeast"/>
          <w:jc w:val="center"/>
        </w:trPr>
        <w:tc>
          <w:tcPr>
            <w:tcW w:w="1770" w:type="dxa"/>
            <w:vAlign w:val="center"/>
          </w:tcPr>
          <w:p>
            <w:pPr>
              <w:spacing w:line="0" w:lineRule="atLeast"/>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主要职责</w:t>
            </w:r>
          </w:p>
        </w:tc>
        <w:tc>
          <w:tcPr>
            <w:tcW w:w="6930" w:type="dxa"/>
            <w:gridSpan w:val="13"/>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仿宋_GB2312" w:eastAsia="仿宋_GB2312" w:cs="仿宋_GB2312"/>
                <w:sz w:val="20"/>
                <w:szCs w:val="21"/>
                <w:lang w:eastAsia="zh-CN"/>
              </w:rPr>
            </w:pPr>
            <w:r>
              <w:rPr>
                <w:rFonts w:hint="eastAsia" w:ascii="仿宋_GB2312" w:hAnsi="仿宋_GB2312" w:eastAsia="仿宋_GB2312" w:cs="仿宋_GB2312"/>
                <w:sz w:val="20"/>
                <w:szCs w:val="21"/>
                <w:lang w:eastAsia="zh-CN"/>
              </w:rPr>
              <w:t>（一）负责保障水资源的合理开发利用。贯彻执行水利政策和规划。组织编制水资源规划及重要湖泊、流域（区域）水利综合规划、防洪规划等水利规划。</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仿宋_GB2312" w:eastAsia="仿宋_GB2312" w:cs="仿宋_GB2312"/>
                <w:sz w:val="20"/>
                <w:szCs w:val="21"/>
                <w:lang w:eastAsia="zh-CN"/>
              </w:rPr>
            </w:pPr>
            <w:r>
              <w:rPr>
                <w:rFonts w:hint="eastAsia" w:ascii="仿宋_GB2312" w:hAnsi="仿宋_GB2312" w:eastAsia="仿宋_GB2312" w:cs="仿宋_GB2312"/>
                <w:sz w:val="20"/>
                <w:szCs w:val="21"/>
                <w:lang w:eastAsia="zh-CN"/>
              </w:rPr>
              <w:t>（二）负责农村生活、生产经营和生态环</w:t>
            </w:r>
            <w:bookmarkStart w:id="0" w:name="_GoBack"/>
            <w:bookmarkEnd w:id="0"/>
            <w:r>
              <w:rPr>
                <w:rFonts w:hint="eastAsia" w:ascii="仿宋_GB2312" w:hAnsi="仿宋_GB2312" w:eastAsia="仿宋_GB2312" w:cs="仿宋_GB2312"/>
                <w:sz w:val="20"/>
                <w:szCs w:val="21"/>
                <w:lang w:eastAsia="zh-CN"/>
              </w:rPr>
              <w:t>境用水的统筹和保障。组织实施最严格水资源管理制度，统一监督管理沙坡头区水资源，拟订沙坡头区中长期水利供求规划、水量分配方案并监督实施。组织实施取水许可、水资源论证和防洪论证制度，指导开展水资源有偿使用工作。指导和管理农业、生态及农村供水工作。</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仿宋_GB2312" w:eastAsia="仿宋_GB2312" w:cs="仿宋_GB2312"/>
                <w:sz w:val="20"/>
                <w:szCs w:val="21"/>
                <w:lang w:eastAsia="zh-CN"/>
              </w:rPr>
            </w:pPr>
            <w:r>
              <w:rPr>
                <w:rFonts w:hint="eastAsia" w:ascii="仿宋_GB2312" w:hAnsi="仿宋_GB2312" w:eastAsia="仿宋_GB2312" w:cs="仿宋_GB2312"/>
                <w:sz w:val="20"/>
                <w:szCs w:val="21"/>
                <w:lang w:eastAsia="zh-CN"/>
              </w:rPr>
              <w:t>（三）负责提出沙坡头区水利固定资产投资规模、方向和具体安排建议并组织指导实施，提出沙坡头区财政性水利专项资金安排建议并负责项目实施的监督管理。</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仿宋_GB2312" w:eastAsia="仿宋_GB2312" w:cs="仿宋_GB2312"/>
                <w:sz w:val="20"/>
                <w:szCs w:val="21"/>
                <w:lang w:eastAsia="zh-CN"/>
              </w:rPr>
            </w:pPr>
            <w:r>
              <w:rPr>
                <w:rFonts w:hint="eastAsia" w:ascii="仿宋_GB2312" w:hAnsi="仿宋_GB2312" w:eastAsia="仿宋_GB2312" w:cs="仿宋_GB2312"/>
                <w:sz w:val="20"/>
                <w:szCs w:val="21"/>
                <w:lang w:eastAsia="zh-CN"/>
              </w:rPr>
              <w:t>（四）负责水资源保护工作。组织编制并实施水资源保护规划。负责沙坡头区饮用水水源地保护有关工作。负责地下水开发利用和地下水资源管理保护。</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仿宋_GB2312" w:eastAsia="仿宋_GB2312" w:cs="仿宋_GB2312"/>
                <w:sz w:val="20"/>
                <w:szCs w:val="21"/>
                <w:lang w:eastAsia="zh-CN"/>
              </w:rPr>
            </w:pPr>
            <w:r>
              <w:rPr>
                <w:rFonts w:hint="eastAsia" w:ascii="仿宋_GB2312" w:hAnsi="仿宋_GB2312" w:eastAsia="仿宋_GB2312" w:cs="仿宋_GB2312"/>
                <w:sz w:val="20"/>
                <w:szCs w:val="21"/>
                <w:lang w:eastAsia="zh-CN"/>
              </w:rPr>
              <w:t>（五）负责沙坡头区节约用水工作。拟订节约用水政策措施，组织编制节约用水规划并监督实施，贯彻执行节约用水有关标准。组织实施用水总量控制等管理制度，指导和推进节水型社会建设工作。</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仿宋_GB2312" w:eastAsia="仿宋_GB2312" w:cs="仿宋_GB2312"/>
                <w:sz w:val="20"/>
                <w:szCs w:val="21"/>
                <w:lang w:eastAsia="zh-CN"/>
              </w:rPr>
            </w:pPr>
            <w:r>
              <w:rPr>
                <w:rFonts w:hint="eastAsia" w:ascii="仿宋_GB2312" w:hAnsi="仿宋_GB2312" w:eastAsia="仿宋_GB2312" w:cs="仿宋_GB2312"/>
                <w:sz w:val="20"/>
                <w:szCs w:val="21"/>
                <w:lang w:eastAsia="zh-CN"/>
              </w:rPr>
              <w:t>（六）负责组织协调、督促各乡镇及沙坡头区河长制成员单位，按照职责分工共同推进沙坡头区河湖管理保护工作。负责建立河长会议、工作督察、信息共享等制度并抓好落实。编制河湖开发、利用、保护规划并组织实施。承担沙坡头区河长制办公室的日常工作。</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仿宋_GB2312" w:eastAsia="仿宋_GB2312" w:cs="仿宋_GB2312"/>
                <w:sz w:val="20"/>
                <w:szCs w:val="21"/>
                <w:lang w:eastAsia="zh-CN"/>
              </w:rPr>
            </w:pPr>
            <w:r>
              <w:rPr>
                <w:rFonts w:hint="eastAsia" w:ascii="仿宋_GB2312" w:hAnsi="仿宋_GB2312" w:eastAsia="仿宋_GB2312" w:cs="仿宋_GB2312"/>
                <w:sz w:val="20"/>
                <w:szCs w:val="21"/>
                <w:lang w:eastAsia="zh-CN"/>
              </w:rPr>
              <w:t>（七）负责沙坡头区水利设施、水域及其岸线的管理、保护与综合开发利用。组织指导水利基础设施网络建设。负责河湖水库的治理、开发和保护。指导河湖水生态保护与修复、河湖生态流量</w:t>
            </w:r>
            <w:r>
              <w:rPr>
                <w:rFonts w:hint="eastAsia" w:ascii="仿宋_GB2312" w:hAnsi="仿宋_GB2312" w:eastAsia="仿宋_GB2312" w:cs="仿宋_GB2312"/>
                <w:sz w:val="20"/>
                <w:szCs w:val="21"/>
                <w:lang w:val="en-US" w:eastAsia="zh-CN"/>
              </w:rPr>
              <w:t>水</w:t>
            </w:r>
            <w:r>
              <w:rPr>
                <w:rFonts w:hint="eastAsia" w:ascii="仿宋_GB2312" w:hAnsi="仿宋_GB2312" w:eastAsia="仿宋_GB2312" w:cs="仿宋_GB2312"/>
                <w:sz w:val="20"/>
                <w:szCs w:val="21"/>
                <w:lang w:eastAsia="zh-CN"/>
              </w:rPr>
              <w:t>量管理以及河湖水系连通工作，组织实施河道管理范围内工程建设方案的审查。</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仿宋_GB2312" w:eastAsia="仿宋_GB2312" w:cs="仿宋_GB2312"/>
                <w:sz w:val="20"/>
                <w:szCs w:val="21"/>
                <w:lang w:val="en-US" w:eastAsia="zh-CN"/>
              </w:rPr>
            </w:pPr>
            <w:r>
              <w:rPr>
                <w:rFonts w:hint="eastAsia" w:ascii="仿宋_GB2312" w:hAnsi="仿宋_GB2312" w:eastAsia="仿宋_GB2312" w:cs="仿宋_GB2312"/>
                <w:sz w:val="20"/>
                <w:szCs w:val="21"/>
                <w:lang w:eastAsia="zh-CN"/>
              </w:rPr>
              <w:t>（八）指导监督、组织实施沙坡头区水利工程建设与运行管理。制定水利工程建设有关政策措施并监督实施。负责沙坡头区水利工程建设的质量监督。</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仿宋_GB2312" w:eastAsia="仿宋_GB2312" w:cs="仿宋_GB2312"/>
                <w:sz w:val="20"/>
                <w:szCs w:val="21"/>
                <w:lang w:eastAsia="zh-CN"/>
              </w:rPr>
            </w:pPr>
            <w:r>
              <w:rPr>
                <w:rFonts w:hint="eastAsia" w:ascii="仿宋_GB2312" w:hAnsi="仿宋_GB2312" w:eastAsia="仿宋_GB2312" w:cs="仿宋_GB2312"/>
                <w:sz w:val="20"/>
                <w:szCs w:val="21"/>
                <w:lang w:eastAsia="zh-CN"/>
              </w:rPr>
              <w:t>（九）负责水土保持工作。拟订沙坡头区水土保持规划并组织实施。指导和组织实施沙坡头区水土保持和水土流失综合治理，预防监督监测并定期公告。负责建设项目水土保持方案的审查审批、监督实施和水土保持设施的验收工作。</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仿宋_GB2312" w:eastAsia="仿宋_GB2312" w:cs="仿宋_GB2312"/>
                <w:sz w:val="20"/>
                <w:szCs w:val="21"/>
                <w:lang w:eastAsia="zh-CN"/>
              </w:rPr>
            </w:pPr>
            <w:r>
              <w:rPr>
                <w:rFonts w:hint="eastAsia" w:ascii="仿宋_GB2312" w:hAnsi="仿宋_GB2312" w:eastAsia="仿宋_GB2312" w:cs="仿宋_GB2312"/>
                <w:sz w:val="20"/>
                <w:szCs w:val="21"/>
                <w:lang w:eastAsia="zh-CN"/>
              </w:rPr>
              <w:t>（十）负责沙坡头区农村水利工作。组织开展大中型灌排工程建设与改造，指导现代化灌区建设。指导农村饮水安全工程建设管理工作，指导节水灌溉有关工作。指导农村水利改革创新和社会化服务体系建设。</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仿宋_GB2312" w:eastAsia="仿宋_GB2312" w:cs="仿宋_GB2312"/>
                <w:sz w:val="20"/>
                <w:szCs w:val="21"/>
                <w:lang w:eastAsia="zh-CN"/>
              </w:rPr>
            </w:pPr>
            <w:r>
              <w:rPr>
                <w:rFonts w:hint="eastAsia" w:ascii="仿宋_GB2312" w:hAnsi="仿宋_GB2312" w:eastAsia="仿宋_GB2312" w:cs="仿宋_GB2312"/>
                <w:sz w:val="20"/>
                <w:szCs w:val="21"/>
                <w:lang w:eastAsia="zh-CN"/>
              </w:rPr>
              <w:t>（十一）负责水利工程移民管理工作。组织实施水利工程移民安置验收，监督评估等制度。指导监督水库移民后期扶持政策的实施，协调推动水利扶贫工作。</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仿宋_GB2312" w:eastAsia="仿宋_GB2312" w:cs="仿宋_GB2312"/>
                <w:sz w:val="20"/>
                <w:szCs w:val="21"/>
                <w:lang w:eastAsia="zh-CN"/>
              </w:rPr>
            </w:pPr>
            <w:r>
              <w:rPr>
                <w:rFonts w:hint="eastAsia" w:ascii="仿宋_GB2312" w:hAnsi="仿宋_GB2312" w:eastAsia="仿宋_GB2312" w:cs="仿宋_GB2312"/>
                <w:sz w:val="20"/>
                <w:szCs w:val="21"/>
                <w:lang w:eastAsia="zh-CN"/>
              </w:rPr>
              <w:t>（十二）负责涉水违法事件的查处、水政监察和水行政执法。督促检查水利重大政策、决策部署和重点工作的贯彻落实情况。依法负责水利行业安全生产工作，组织指导水库、大坝的安全监管。指导水利建设市场的监督管理，组织实施水利工程建设的监督。组织指导水利投资项目稽查、节水及水资源管理督查。指导水利突发公共事件的应急管理工作。</w:t>
            </w:r>
          </w:p>
          <w:p>
            <w:pPr>
              <w:pStyle w:val="2"/>
              <w:rPr>
                <w:rFonts w:hint="eastAsia" w:ascii="仿宋_GB2312" w:hAnsi="仿宋_GB2312" w:eastAsia="仿宋_GB2312" w:cs="仿宋_GB2312"/>
                <w:kern w:val="2"/>
                <w:sz w:val="20"/>
                <w:szCs w:val="21"/>
                <w:lang w:val="en-US" w:eastAsia="zh-CN" w:bidi="ar-SA"/>
              </w:rPr>
            </w:pPr>
            <w:r>
              <w:rPr>
                <w:rFonts w:hint="eastAsia" w:ascii="仿宋_GB2312" w:hAnsi="仿宋_GB2312" w:eastAsia="仿宋_GB2312" w:cs="仿宋_GB2312"/>
                <w:kern w:val="2"/>
                <w:sz w:val="20"/>
                <w:szCs w:val="21"/>
                <w:lang w:val="en-US" w:eastAsia="zh-CN" w:bidi="ar-SA"/>
              </w:rPr>
              <w:t>（十三）组织开展水利科技工作。组织指导水利科技创新，新技术推广应用、信息化工作、对外合作与交流。组织重大水利科学研究、技术引进和科技推广。负责水利科技项目和科技成果的管理工作。贯彻执行水利行业的技术标准，规程规范。</w:t>
            </w:r>
          </w:p>
          <w:p>
            <w:pPr>
              <w:pStyle w:val="3"/>
              <w:rPr>
                <w:rFonts w:hint="eastAsia" w:ascii="仿宋_GB2312" w:hAnsi="仿宋_GB2312" w:eastAsia="仿宋_GB2312" w:cs="仿宋_GB2312"/>
                <w:kern w:val="2"/>
                <w:sz w:val="20"/>
                <w:szCs w:val="21"/>
                <w:lang w:val="en-US" w:eastAsia="zh-CN" w:bidi="ar-SA"/>
              </w:rPr>
            </w:pPr>
            <w:r>
              <w:rPr>
                <w:rFonts w:hint="eastAsia" w:ascii="仿宋_GB2312" w:hAnsi="仿宋_GB2312" w:eastAsia="仿宋_GB2312" w:cs="仿宋_GB2312"/>
                <w:kern w:val="2"/>
                <w:sz w:val="20"/>
                <w:szCs w:val="21"/>
                <w:lang w:val="en-US" w:eastAsia="zh-CN" w:bidi="ar-SA"/>
              </w:rPr>
              <w:t>（十四）负责落实综合防灾减灾规划相关要求，组织编制洪水干旱灾害防治规划和防护标准并指导实施。承担水情旱情预警工作。组织编制重要河湖和重要水工程的防御洪水抗御旱灾调度及应急水量调度方案，按程序报批并组织实施。承担防御洪水应急抢险的技术支撑工作。保障防洪安全、河势稳定和堤防安全。</w:t>
            </w:r>
          </w:p>
          <w:p>
            <w:pPr>
              <w:pStyle w:val="3"/>
              <w:rPr>
                <w:rFonts w:hint="eastAsia" w:ascii="仿宋_GB2312" w:hAnsi="仿宋_GB2312" w:eastAsia="仿宋_GB2312" w:cs="仿宋_GB2312"/>
                <w:kern w:val="2"/>
                <w:sz w:val="20"/>
                <w:szCs w:val="21"/>
                <w:lang w:val="en-US" w:eastAsia="zh-CN" w:bidi="ar-SA"/>
              </w:rPr>
            </w:pPr>
            <w:r>
              <w:rPr>
                <w:rFonts w:hint="eastAsia" w:ascii="仿宋_GB2312" w:hAnsi="仿宋_GB2312" w:eastAsia="仿宋_GB2312" w:cs="仿宋_GB2312"/>
                <w:kern w:val="2"/>
                <w:sz w:val="20"/>
                <w:szCs w:val="21"/>
                <w:lang w:val="en-US" w:eastAsia="zh-CN" w:bidi="ar-SA"/>
              </w:rPr>
              <w:t>（十五）完成沙坡头区委和政府交办的其他任务。</w:t>
            </w:r>
          </w:p>
          <w:p>
            <w:pPr>
              <w:pStyle w:val="3"/>
            </w:pPr>
            <w:r>
              <w:rPr>
                <w:rFonts w:hint="eastAsia" w:ascii="仿宋_GB2312" w:hAnsi="仿宋_GB2312" w:eastAsia="仿宋_GB2312" w:cs="仿宋_GB2312"/>
                <w:kern w:val="2"/>
                <w:sz w:val="20"/>
                <w:szCs w:val="21"/>
                <w:lang w:val="en-US" w:eastAsia="zh-CN" w:bidi="ar-SA"/>
              </w:rPr>
              <w:t>（十六）职能转变。区水务局切实加强水资源合理利用、优化配置和节约保护。坚持节水优先，从增加供给转向更加重视需求管理，严格控制用水总量和提高用水效率。坚持保护优先，加强水资源、水域和水利工程的管理保护，维护河湖健康美丽。坚持统筹兼顾，保障合理用水需求和水资源的可持续利用，为经济社会发展提供水安全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jc w:val="center"/>
        </w:trPr>
        <w:tc>
          <w:tcPr>
            <w:tcW w:w="1770" w:type="dxa"/>
            <w:vMerge w:val="restart"/>
            <w:tcBorders>
              <w:right w:val="single" w:color="auto" w:sz="4" w:space="0"/>
            </w:tcBorders>
            <w:vAlign w:val="center"/>
          </w:tcPr>
          <w:p>
            <w:pPr>
              <w:spacing w:line="0" w:lineRule="atLeast"/>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内设机构</w:t>
            </w:r>
          </w:p>
          <w:p>
            <w:pPr>
              <w:spacing w:line="0" w:lineRule="atLeast"/>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情况</w:t>
            </w:r>
          </w:p>
        </w:tc>
        <w:tc>
          <w:tcPr>
            <w:tcW w:w="1170" w:type="dxa"/>
            <w:gridSpan w:val="2"/>
            <w:tcBorders>
              <w:left w:val="single" w:color="auto" w:sz="4" w:space="0"/>
            </w:tcBorders>
            <w:vAlign w:val="center"/>
          </w:tcPr>
          <w:p>
            <w:pPr>
              <w:spacing w:line="0" w:lineRule="atLeast"/>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机构</w:t>
            </w:r>
          </w:p>
          <w:p>
            <w:pPr>
              <w:spacing w:line="0" w:lineRule="atLeast"/>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名称</w:t>
            </w:r>
          </w:p>
        </w:tc>
        <w:tc>
          <w:tcPr>
            <w:tcW w:w="3859" w:type="dxa"/>
            <w:gridSpan w:val="7"/>
            <w:vAlign w:val="center"/>
          </w:tcPr>
          <w:p>
            <w:pPr>
              <w:spacing w:line="0" w:lineRule="atLeast"/>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主要职责</w:t>
            </w:r>
          </w:p>
        </w:tc>
        <w:tc>
          <w:tcPr>
            <w:tcW w:w="888" w:type="dxa"/>
            <w:gridSpan w:val="2"/>
            <w:vAlign w:val="center"/>
          </w:tcPr>
          <w:p>
            <w:pPr>
              <w:spacing w:line="0" w:lineRule="atLeast"/>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机构负责人</w:t>
            </w:r>
          </w:p>
        </w:tc>
        <w:tc>
          <w:tcPr>
            <w:tcW w:w="1013" w:type="dxa"/>
            <w:gridSpan w:val="2"/>
            <w:vAlign w:val="center"/>
          </w:tcPr>
          <w:p>
            <w:pPr>
              <w:spacing w:line="0" w:lineRule="atLeast"/>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5" w:hRule="atLeast"/>
          <w:jc w:val="center"/>
        </w:trPr>
        <w:tc>
          <w:tcPr>
            <w:tcW w:w="1770" w:type="dxa"/>
            <w:vMerge w:val="continue"/>
            <w:tcBorders>
              <w:right w:val="single" w:color="auto" w:sz="4" w:space="0"/>
            </w:tcBorders>
            <w:vAlign w:val="center"/>
          </w:tcPr>
          <w:p>
            <w:pPr>
              <w:spacing w:line="0" w:lineRule="atLeast"/>
              <w:jc w:val="center"/>
              <w:rPr>
                <w:rFonts w:ascii="仿宋_GB2312" w:hAnsi="仿宋_GB2312" w:eastAsia="仿宋_GB2312" w:cs="仿宋_GB2312"/>
                <w:kern w:val="0"/>
                <w:sz w:val="20"/>
                <w:szCs w:val="21"/>
              </w:rPr>
            </w:pPr>
          </w:p>
        </w:tc>
        <w:tc>
          <w:tcPr>
            <w:tcW w:w="1170" w:type="dxa"/>
            <w:gridSpan w:val="2"/>
            <w:tcBorders>
              <w:left w:val="single" w:color="auto" w:sz="4" w:space="0"/>
            </w:tcBorders>
            <w:vAlign w:val="center"/>
          </w:tcPr>
          <w:p>
            <w:pPr>
              <w:spacing w:line="0" w:lineRule="atLeast"/>
              <w:jc w:val="both"/>
              <w:rPr>
                <w:rFonts w:hint="eastAsia" w:ascii="仿宋_GB2312" w:hAnsi="仿宋_GB2312" w:eastAsia="仿宋_GB2312" w:cs="仿宋_GB2312"/>
                <w:kern w:val="0"/>
                <w:sz w:val="20"/>
                <w:szCs w:val="21"/>
                <w:lang w:eastAsia="zh-CN"/>
              </w:rPr>
            </w:pPr>
            <w:r>
              <w:rPr>
                <w:rFonts w:hint="eastAsia" w:ascii="仿宋_GB2312" w:hAnsi="仿宋_GB2312" w:eastAsia="仿宋_GB2312" w:cs="仿宋_GB2312"/>
                <w:kern w:val="0"/>
                <w:sz w:val="20"/>
                <w:szCs w:val="21"/>
                <w:lang w:eastAsia="zh-CN"/>
              </w:rPr>
              <w:t>办公室</w:t>
            </w:r>
          </w:p>
        </w:tc>
        <w:tc>
          <w:tcPr>
            <w:tcW w:w="3859" w:type="dxa"/>
            <w:gridSpan w:val="7"/>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pPr>
            <w:r>
              <w:rPr>
                <w:rFonts w:hint="default" w:ascii="仿宋_GB2312" w:hAnsi="仿宋_GB2312" w:eastAsia="仿宋_GB2312" w:cs="仿宋_GB2312"/>
                <w:kern w:val="0"/>
                <w:sz w:val="20"/>
                <w:szCs w:val="21"/>
                <w:lang w:eastAsia="zh-CN"/>
              </w:rPr>
              <w:t>负责协调和督办机关日常工作</w:t>
            </w:r>
            <w:r>
              <w:rPr>
                <w:rFonts w:hint="eastAsia" w:ascii="仿宋_GB2312" w:hAnsi="仿宋_GB2312" w:eastAsia="仿宋_GB2312" w:cs="仿宋_GB2312"/>
                <w:kern w:val="0"/>
                <w:sz w:val="20"/>
                <w:szCs w:val="21"/>
                <w:lang w:eastAsia="zh-CN"/>
              </w:rPr>
              <w:t>；</w:t>
            </w:r>
            <w:r>
              <w:rPr>
                <w:rFonts w:hint="default" w:ascii="仿宋_GB2312" w:hAnsi="仿宋_GB2312" w:eastAsia="仿宋_GB2312" w:cs="仿宋_GB2312"/>
                <w:kern w:val="0"/>
                <w:sz w:val="20"/>
                <w:szCs w:val="21"/>
                <w:lang w:eastAsia="zh-CN"/>
              </w:rPr>
              <w:t>负责机关文</w:t>
            </w:r>
            <w:r>
              <w:rPr>
                <w:rFonts w:hint="eastAsia" w:ascii="仿宋_GB2312" w:hAnsi="仿宋_GB2312" w:eastAsia="仿宋_GB2312" w:cs="仿宋_GB2312"/>
                <w:kern w:val="0"/>
                <w:sz w:val="20"/>
                <w:szCs w:val="21"/>
                <w:lang w:eastAsia="zh-CN"/>
              </w:rPr>
              <w:t>电、</w:t>
            </w:r>
            <w:r>
              <w:rPr>
                <w:rFonts w:hint="default" w:ascii="仿宋_GB2312" w:hAnsi="仿宋_GB2312" w:eastAsia="仿宋_GB2312" w:cs="仿宋_GB2312"/>
                <w:kern w:val="0"/>
                <w:sz w:val="20"/>
                <w:szCs w:val="21"/>
                <w:lang w:eastAsia="zh-CN"/>
              </w:rPr>
              <w:t>信息</w:t>
            </w:r>
            <w:r>
              <w:rPr>
                <w:rFonts w:hint="eastAsia" w:ascii="仿宋_GB2312" w:hAnsi="仿宋_GB2312" w:eastAsia="仿宋_GB2312" w:cs="仿宋_GB2312"/>
                <w:kern w:val="0"/>
                <w:sz w:val="20"/>
                <w:szCs w:val="21"/>
                <w:lang w:eastAsia="zh-CN"/>
              </w:rPr>
              <w:t>、</w:t>
            </w:r>
            <w:r>
              <w:rPr>
                <w:rFonts w:hint="default" w:ascii="仿宋_GB2312" w:hAnsi="仿宋_GB2312" w:eastAsia="仿宋_GB2312" w:cs="仿宋_GB2312"/>
                <w:kern w:val="0"/>
                <w:sz w:val="20"/>
                <w:szCs w:val="21"/>
                <w:lang w:eastAsia="zh-CN"/>
              </w:rPr>
              <w:t>宣传</w:t>
            </w:r>
            <w:r>
              <w:rPr>
                <w:rFonts w:hint="eastAsia" w:ascii="仿宋_GB2312" w:hAnsi="仿宋_GB2312" w:eastAsia="仿宋_GB2312" w:cs="仿宋_GB2312"/>
                <w:kern w:val="0"/>
                <w:sz w:val="20"/>
                <w:szCs w:val="21"/>
                <w:lang w:eastAsia="zh-CN"/>
              </w:rPr>
              <w:t>、会务、</w:t>
            </w:r>
            <w:r>
              <w:rPr>
                <w:rFonts w:hint="default" w:ascii="仿宋_GB2312" w:hAnsi="仿宋_GB2312" w:eastAsia="仿宋_GB2312" w:cs="仿宋_GB2312"/>
                <w:kern w:val="0"/>
                <w:sz w:val="20"/>
                <w:szCs w:val="21"/>
                <w:lang w:eastAsia="zh-CN"/>
              </w:rPr>
              <w:t>保密</w:t>
            </w:r>
            <w:r>
              <w:rPr>
                <w:rFonts w:hint="eastAsia" w:ascii="仿宋_GB2312" w:hAnsi="仿宋_GB2312" w:eastAsia="仿宋_GB2312" w:cs="仿宋_GB2312"/>
                <w:kern w:val="0"/>
                <w:sz w:val="20"/>
                <w:szCs w:val="21"/>
                <w:lang w:eastAsia="zh-CN"/>
              </w:rPr>
              <w:t>、</w:t>
            </w:r>
            <w:r>
              <w:rPr>
                <w:rFonts w:hint="default" w:ascii="仿宋_GB2312" w:hAnsi="仿宋_GB2312" w:eastAsia="仿宋_GB2312" w:cs="仿宋_GB2312"/>
                <w:kern w:val="0"/>
                <w:sz w:val="20"/>
                <w:szCs w:val="21"/>
                <w:lang w:eastAsia="zh-CN"/>
              </w:rPr>
              <w:t>档案</w:t>
            </w:r>
            <w:r>
              <w:rPr>
                <w:rFonts w:hint="eastAsia" w:ascii="仿宋_GB2312" w:hAnsi="仿宋_GB2312" w:eastAsia="仿宋_GB2312" w:cs="仿宋_GB2312"/>
                <w:kern w:val="0"/>
                <w:sz w:val="20"/>
                <w:szCs w:val="21"/>
                <w:lang w:eastAsia="zh-CN"/>
              </w:rPr>
              <w:t>、</w:t>
            </w:r>
            <w:r>
              <w:rPr>
                <w:rFonts w:hint="default" w:ascii="仿宋_GB2312" w:hAnsi="仿宋_GB2312" w:eastAsia="仿宋_GB2312" w:cs="仿宋_GB2312"/>
                <w:kern w:val="0"/>
                <w:sz w:val="20"/>
                <w:szCs w:val="21"/>
                <w:lang w:eastAsia="zh-CN"/>
              </w:rPr>
              <w:t>人事</w:t>
            </w:r>
            <w:r>
              <w:rPr>
                <w:rFonts w:hint="eastAsia" w:ascii="仿宋_GB2312" w:hAnsi="仿宋_GB2312" w:eastAsia="仿宋_GB2312" w:cs="仿宋_GB2312"/>
                <w:kern w:val="0"/>
                <w:sz w:val="20"/>
                <w:szCs w:val="21"/>
                <w:lang w:eastAsia="zh-CN"/>
              </w:rPr>
              <w:t>、</w:t>
            </w:r>
            <w:r>
              <w:rPr>
                <w:rFonts w:hint="default" w:ascii="仿宋_GB2312" w:hAnsi="仿宋_GB2312" w:eastAsia="仿宋_GB2312" w:cs="仿宋_GB2312"/>
                <w:kern w:val="0"/>
                <w:sz w:val="20"/>
                <w:szCs w:val="21"/>
                <w:lang w:eastAsia="zh-CN"/>
              </w:rPr>
              <w:t>劳资</w:t>
            </w:r>
            <w:r>
              <w:rPr>
                <w:rFonts w:hint="eastAsia" w:ascii="仿宋_GB2312" w:hAnsi="仿宋_GB2312" w:eastAsia="仿宋_GB2312" w:cs="仿宋_GB2312"/>
                <w:kern w:val="0"/>
                <w:sz w:val="20"/>
                <w:szCs w:val="21"/>
                <w:lang w:eastAsia="zh-CN"/>
              </w:rPr>
              <w:t>、</w:t>
            </w:r>
            <w:r>
              <w:rPr>
                <w:rFonts w:hint="default" w:ascii="仿宋_GB2312" w:hAnsi="仿宋_GB2312" w:eastAsia="仿宋_GB2312" w:cs="仿宋_GB2312"/>
                <w:kern w:val="0"/>
                <w:sz w:val="20"/>
                <w:szCs w:val="21"/>
                <w:lang w:eastAsia="zh-CN"/>
              </w:rPr>
              <w:t>信访</w:t>
            </w:r>
            <w:r>
              <w:rPr>
                <w:rFonts w:hint="eastAsia" w:ascii="仿宋_GB2312" w:hAnsi="仿宋_GB2312" w:eastAsia="仿宋_GB2312" w:cs="仿宋_GB2312"/>
                <w:kern w:val="0"/>
                <w:sz w:val="20"/>
                <w:szCs w:val="21"/>
                <w:lang w:eastAsia="zh-CN"/>
              </w:rPr>
              <w:t>、</w:t>
            </w:r>
            <w:r>
              <w:rPr>
                <w:rFonts w:hint="default" w:ascii="仿宋_GB2312" w:hAnsi="仿宋_GB2312" w:eastAsia="仿宋_GB2312" w:cs="仿宋_GB2312"/>
                <w:kern w:val="0"/>
                <w:sz w:val="20"/>
                <w:szCs w:val="21"/>
                <w:lang w:eastAsia="zh-CN"/>
              </w:rPr>
              <w:t>信息</w:t>
            </w:r>
            <w:r>
              <w:rPr>
                <w:rFonts w:hint="eastAsia" w:ascii="仿宋_GB2312" w:hAnsi="仿宋_GB2312" w:eastAsia="仿宋_GB2312" w:cs="仿宋_GB2312"/>
                <w:kern w:val="0"/>
                <w:sz w:val="20"/>
                <w:szCs w:val="21"/>
                <w:lang w:eastAsia="zh-CN"/>
              </w:rPr>
              <w:t>、</w:t>
            </w:r>
            <w:r>
              <w:rPr>
                <w:rFonts w:hint="default" w:ascii="仿宋_GB2312" w:hAnsi="仿宋_GB2312" w:eastAsia="仿宋_GB2312" w:cs="仿宋_GB2312"/>
                <w:kern w:val="0"/>
                <w:sz w:val="20"/>
                <w:szCs w:val="21"/>
                <w:lang w:eastAsia="zh-CN"/>
              </w:rPr>
              <w:t>政务公开</w:t>
            </w:r>
            <w:r>
              <w:rPr>
                <w:rFonts w:hint="eastAsia" w:ascii="仿宋_GB2312" w:hAnsi="仿宋_GB2312" w:eastAsia="仿宋_GB2312" w:cs="仿宋_GB2312"/>
                <w:kern w:val="0"/>
                <w:sz w:val="20"/>
                <w:szCs w:val="21"/>
                <w:lang w:eastAsia="zh-CN"/>
              </w:rPr>
              <w:t>、</w:t>
            </w:r>
            <w:r>
              <w:rPr>
                <w:rFonts w:hint="default" w:ascii="仿宋_GB2312" w:hAnsi="仿宋_GB2312" w:eastAsia="仿宋_GB2312" w:cs="仿宋_GB2312"/>
                <w:kern w:val="0"/>
                <w:sz w:val="20"/>
                <w:szCs w:val="21"/>
                <w:lang w:eastAsia="zh-CN"/>
              </w:rPr>
              <w:t>社会帮扶</w:t>
            </w:r>
            <w:r>
              <w:rPr>
                <w:rFonts w:hint="eastAsia" w:ascii="仿宋_GB2312" w:hAnsi="仿宋_GB2312" w:eastAsia="仿宋_GB2312" w:cs="仿宋_GB2312"/>
                <w:kern w:val="0"/>
                <w:sz w:val="20"/>
                <w:szCs w:val="21"/>
                <w:lang w:eastAsia="zh-CN"/>
              </w:rPr>
              <w:t>、</w:t>
            </w:r>
            <w:r>
              <w:rPr>
                <w:rFonts w:hint="default" w:ascii="仿宋_GB2312" w:hAnsi="仿宋_GB2312" w:eastAsia="仿宋_GB2312" w:cs="仿宋_GB2312"/>
                <w:kern w:val="0"/>
                <w:sz w:val="20"/>
                <w:szCs w:val="21"/>
                <w:lang w:eastAsia="zh-CN"/>
              </w:rPr>
              <w:t>对外交流</w:t>
            </w:r>
            <w:r>
              <w:rPr>
                <w:rFonts w:hint="eastAsia" w:ascii="仿宋_GB2312" w:hAnsi="仿宋_GB2312" w:eastAsia="仿宋_GB2312" w:cs="仿宋_GB2312"/>
                <w:kern w:val="0"/>
                <w:sz w:val="20"/>
                <w:szCs w:val="21"/>
                <w:lang w:eastAsia="zh-CN"/>
              </w:rPr>
              <w:t>、</w:t>
            </w:r>
            <w:r>
              <w:rPr>
                <w:rFonts w:hint="default" w:ascii="仿宋_GB2312" w:hAnsi="仿宋_GB2312" w:eastAsia="仿宋_GB2312" w:cs="仿宋_GB2312"/>
                <w:kern w:val="0"/>
                <w:sz w:val="20"/>
                <w:szCs w:val="21"/>
                <w:lang w:eastAsia="zh-CN"/>
              </w:rPr>
              <w:t>后勤保障等工作</w:t>
            </w:r>
            <w:r>
              <w:rPr>
                <w:rFonts w:hint="eastAsia" w:ascii="仿宋_GB2312" w:hAnsi="仿宋_GB2312" w:eastAsia="仿宋_GB2312" w:cs="仿宋_GB2312"/>
                <w:kern w:val="0"/>
                <w:sz w:val="20"/>
                <w:szCs w:val="21"/>
                <w:lang w:eastAsia="zh-CN"/>
              </w:rPr>
              <w:t>；</w:t>
            </w:r>
            <w:r>
              <w:rPr>
                <w:rFonts w:hint="default" w:ascii="仿宋_GB2312" w:hAnsi="仿宋_GB2312" w:eastAsia="仿宋_GB2312" w:cs="仿宋_GB2312"/>
                <w:kern w:val="0"/>
                <w:sz w:val="20"/>
                <w:szCs w:val="21"/>
                <w:lang w:eastAsia="zh-CN"/>
              </w:rPr>
              <w:t>负责技术职称评聘，水利行政管理体制改革</w:t>
            </w:r>
            <w:r>
              <w:rPr>
                <w:rFonts w:hint="eastAsia" w:ascii="仿宋_GB2312" w:hAnsi="仿宋_GB2312" w:eastAsia="仿宋_GB2312" w:cs="仿宋_GB2312"/>
                <w:kern w:val="0"/>
                <w:sz w:val="20"/>
                <w:szCs w:val="21"/>
                <w:lang w:eastAsia="zh-CN"/>
              </w:rPr>
              <w:t>、</w:t>
            </w:r>
            <w:r>
              <w:rPr>
                <w:rFonts w:hint="default" w:ascii="仿宋_GB2312" w:hAnsi="仿宋_GB2312" w:eastAsia="仿宋_GB2312" w:cs="仿宋_GB2312"/>
                <w:kern w:val="0"/>
                <w:sz w:val="20"/>
                <w:szCs w:val="21"/>
                <w:lang w:eastAsia="zh-CN"/>
              </w:rPr>
              <w:t>退休职工管理</w:t>
            </w:r>
            <w:r>
              <w:rPr>
                <w:rFonts w:hint="eastAsia" w:ascii="仿宋_GB2312" w:hAnsi="仿宋_GB2312" w:eastAsia="仿宋_GB2312" w:cs="仿宋_GB2312"/>
                <w:kern w:val="0"/>
                <w:sz w:val="20"/>
                <w:szCs w:val="21"/>
                <w:lang w:eastAsia="zh-CN"/>
              </w:rPr>
              <w:t>；</w:t>
            </w:r>
            <w:r>
              <w:rPr>
                <w:rFonts w:hint="default" w:ascii="仿宋_GB2312" w:hAnsi="仿宋_GB2312" w:eastAsia="仿宋_GB2312" w:cs="仿宋_GB2312"/>
                <w:kern w:val="0"/>
                <w:sz w:val="20"/>
                <w:szCs w:val="21"/>
                <w:lang w:eastAsia="zh-CN"/>
              </w:rPr>
              <w:t>负责系统党建</w:t>
            </w:r>
            <w:r>
              <w:rPr>
                <w:rFonts w:hint="eastAsia" w:ascii="仿宋_GB2312" w:hAnsi="仿宋_GB2312" w:eastAsia="仿宋_GB2312" w:cs="仿宋_GB2312"/>
                <w:kern w:val="0"/>
                <w:sz w:val="20"/>
                <w:szCs w:val="21"/>
                <w:lang w:eastAsia="zh-CN"/>
              </w:rPr>
              <w:t>、</w:t>
            </w:r>
            <w:r>
              <w:rPr>
                <w:rFonts w:hint="default" w:ascii="仿宋_GB2312" w:hAnsi="仿宋_GB2312" w:eastAsia="仿宋_GB2312" w:cs="仿宋_GB2312"/>
                <w:kern w:val="0"/>
                <w:sz w:val="20"/>
                <w:szCs w:val="21"/>
                <w:lang w:eastAsia="zh-CN"/>
              </w:rPr>
              <w:t>党风廉政建设</w:t>
            </w:r>
            <w:r>
              <w:rPr>
                <w:rFonts w:hint="eastAsia" w:ascii="仿宋_GB2312" w:hAnsi="仿宋_GB2312" w:eastAsia="仿宋_GB2312" w:cs="仿宋_GB2312"/>
                <w:kern w:val="0"/>
                <w:sz w:val="20"/>
                <w:szCs w:val="21"/>
                <w:lang w:eastAsia="zh-CN"/>
              </w:rPr>
              <w:t>、</w:t>
            </w:r>
            <w:r>
              <w:rPr>
                <w:rFonts w:hint="default" w:ascii="仿宋_GB2312" w:hAnsi="仿宋_GB2312" w:eastAsia="仿宋_GB2312" w:cs="仿宋_GB2312"/>
                <w:kern w:val="0"/>
                <w:sz w:val="20"/>
                <w:szCs w:val="21"/>
                <w:lang w:eastAsia="zh-CN"/>
              </w:rPr>
              <w:t>机关党建</w:t>
            </w:r>
            <w:r>
              <w:rPr>
                <w:rFonts w:hint="eastAsia" w:ascii="仿宋_GB2312" w:hAnsi="仿宋_GB2312" w:eastAsia="仿宋_GB2312" w:cs="仿宋_GB2312"/>
                <w:kern w:val="0"/>
                <w:sz w:val="20"/>
                <w:szCs w:val="21"/>
                <w:lang w:eastAsia="zh-CN"/>
              </w:rPr>
              <w:t>、</w:t>
            </w:r>
            <w:r>
              <w:rPr>
                <w:rFonts w:hint="default" w:ascii="仿宋_GB2312" w:hAnsi="仿宋_GB2312" w:eastAsia="仿宋_GB2312" w:cs="仿宋_GB2312"/>
                <w:kern w:val="0"/>
                <w:sz w:val="20"/>
                <w:szCs w:val="21"/>
                <w:lang w:eastAsia="zh-CN"/>
              </w:rPr>
              <w:t>意识形态</w:t>
            </w:r>
            <w:r>
              <w:rPr>
                <w:rFonts w:hint="eastAsia" w:ascii="仿宋_GB2312" w:hAnsi="仿宋_GB2312" w:eastAsia="仿宋_GB2312" w:cs="仿宋_GB2312"/>
                <w:kern w:val="0"/>
                <w:sz w:val="20"/>
                <w:szCs w:val="21"/>
                <w:lang w:eastAsia="zh-CN"/>
              </w:rPr>
              <w:t>、</w:t>
            </w:r>
            <w:r>
              <w:rPr>
                <w:rFonts w:hint="default" w:ascii="仿宋_GB2312" w:hAnsi="仿宋_GB2312" w:eastAsia="仿宋_GB2312" w:cs="仿宋_GB2312"/>
                <w:kern w:val="0"/>
                <w:sz w:val="20"/>
                <w:szCs w:val="21"/>
                <w:lang w:eastAsia="zh-CN"/>
              </w:rPr>
              <w:t>精神文明建设</w:t>
            </w:r>
            <w:r>
              <w:rPr>
                <w:rFonts w:hint="eastAsia" w:ascii="仿宋_GB2312" w:hAnsi="仿宋_GB2312" w:eastAsia="仿宋_GB2312" w:cs="仿宋_GB2312"/>
                <w:kern w:val="0"/>
                <w:sz w:val="20"/>
                <w:szCs w:val="21"/>
                <w:lang w:eastAsia="zh-CN"/>
              </w:rPr>
              <w:t>、</w:t>
            </w:r>
            <w:r>
              <w:rPr>
                <w:rFonts w:hint="default" w:ascii="仿宋_GB2312" w:hAnsi="仿宋_GB2312" w:eastAsia="仿宋_GB2312" w:cs="仿宋_GB2312"/>
                <w:kern w:val="0"/>
                <w:sz w:val="20"/>
                <w:szCs w:val="21"/>
                <w:lang w:eastAsia="zh-CN"/>
              </w:rPr>
              <w:t>工会等工作</w:t>
            </w:r>
            <w:r>
              <w:rPr>
                <w:rFonts w:hint="eastAsia" w:ascii="仿宋_GB2312" w:hAnsi="仿宋_GB2312" w:eastAsia="仿宋_GB2312" w:cs="仿宋_GB2312"/>
                <w:kern w:val="0"/>
                <w:sz w:val="20"/>
                <w:szCs w:val="21"/>
                <w:lang w:eastAsia="zh-CN"/>
              </w:rPr>
              <w:t>。</w:t>
            </w:r>
          </w:p>
        </w:tc>
        <w:tc>
          <w:tcPr>
            <w:tcW w:w="888" w:type="dxa"/>
            <w:gridSpan w:val="2"/>
            <w:vAlign w:val="center"/>
          </w:tcPr>
          <w:p>
            <w:pPr>
              <w:spacing w:line="0" w:lineRule="atLeast"/>
              <w:jc w:val="center"/>
              <w:rPr>
                <w:rFonts w:hint="eastAsia" w:ascii="仿宋_GB2312" w:hAnsi="仿宋_GB2312" w:eastAsia="仿宋_GB2312" w:cs="仿宋_GB2312"/>
                <w:kern w:val="0"/>
                <w:sz w:val="20"/>
                <w:szCs w:val="21"/>
                <w:lang w:eastAsia="zh-CN"/>
              </w:rPr>
            </w:pPr>
            <w:r>
              <w:rPr>
                <w:rFonts w:hint="eastAsia" w:ascii="仿宋_GB2312" w:hAnsi="仿宋_GB2312" w:eastAsia="仿宋_GB2312" w:cs="仿宋_GB2312"/>
                <w:kern w:val="0"/>
                <w:sz w:val="20"/>
                <w:szCs w:val="21"/>
                <w:highlight w:val="none"/>
                <w:lang w:eastAsia="zh-CN"/>
              </w:rPr>
              <w:t>贾欣</w:t>
            </w:r>
          </w:p>
        </w:tc>
        <w:tc>
          <w:tcPr>
            <w:tcW w:w="1013" w:type="dxa"/>
            <w:gridSpan w:val="2"/>
            <w:vAlign w:val="center"/>
          </w:tcPr>
          <w:p>
            <w:pPr>
              <w:spacing w:line="0" w:lineRule="atLeast"/>
              <w:jc w:val="center"/>
              <w:rPr>
                <w:rFonts w:hint="default" w:ascii="仿宋_GB2312" w:hAnsi="仿宋_GB2312" w:eastAsia="仿宋_GB2312" w:cs="仿宋_GB2312"/>
                <w:kern w:val="0"/>
                <w:sz w:val="20"/>
                <w:szCs w:val="21"/>
                <w:lang w:val="en-US" w:eastAsia="zh-CN"/>
              </w:rPr>
            </w:pPr>
            <w:r>
              <w:rPr>
                <w:rFonts w:hint="eastAsia" w:ascii="仿宋_GB2312" w:hAnsi="仿宋_GB2312" w:eastAsia="仿宋_GB2312" w:cs="仿宋_GB2312"/>
                <w:kern w:val="0"/>
                <w:sz w:val="20"/>
                <w:szCs w:val="21"/>
                <w:lang w:val="en-US" w:eastAsia="zh-CN"/>
              </w:rPr>
              <w:t>7655586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73" w:hRule="atLeast"/>
          <w:jc w:val="center"/>
        </w:trPr>
        <w:tc>
          <w:tcPr>
            <w:tcW w:w="1770" w:type="dxa"/>
            <w:vMerge w:val="continue"/>
            <w:tcBorders>
              <w:right w:val="single" w:color="auto" w:sz="4" w:space="0"/>
            </w:tcBorders>
            <w:vAlign w:val="center"/>
          </w:tcPr>
          <w:p>
            <w:pPr>
              <w:spacing w:line="0" w:lineRule="atLeast"/>
              <w:rPr>
                <w:rFonts w:ascii="仿宋_GB2312" w:hAnsi="仿宋_GB2312" w:eastAsia="仿宋_GB2312" w:cs="仿宋_GB2312"/>
                <w:kern w:val="0"/>
                <w:sz w:val="20"/>
                <w:szCs w:val="21"/>
              </w:rPr>
            </w:pPr>
          </w:p>
        </w:tc>
        <w:tc>
          <w:tcPr>
            <w:tcW w:w="1170" w:type="dxa"/>
            <w:gridSpan w:val="2"/>
            <w:vAlign w:val="center"/>
          </w:tcPr>
          <w:p>
            <w:pPr>
              <w:spacing w:line="0" w:lineRule="atLeast"/>
              <w:jc w:val="both"/>
              <w:rPr>
                <w:rFonts w:hint="eastAsia" w:ascii="仿宋_GB2312" w:hAnsi="仿宋_GB2312" w:eastAsia="仿宋_GB2312" w:cs="仿宋_GB2312"/>
                <w:kern w:val="0"/>
                <w:sz w:val="20"/>
                <w:szCs w:val="21"/>
                <w:lang w:val="en-US" w:eastAsia="zh-CN"/>
              </w:rPr>
            </w:pPr>
            <w:r>
              <w:rPr>
                <w:rFonts w:hint="eastAsia" w:ascii="仿宋_GB2312" w:hAnsi="仿宋_GB2312" w:eastAsia="仿宋_GB2312" w:cs="仿宋_GB2312"/>
                <w:kern w:val="0"/>
                <w:sz w:val="20"/>
                <w:szCs w:val="21"/>
                <w:lang w:eastAsia="zh-CN"/>
              </w:rPr>
              <w:t>法规与水资源管理办公室</w:t>
            </w:r>
          </w:p>
        </w:tc>
        <w:tc>
          <w:tcPr>
            <w:tcW w:w="3859" w:type="dxa"/>
            <w:gridSpan w:val="7"/>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eastAsia" w:ascii="仿宋_GB2312" w:hAnsi="仿宋_GB2312" w:eastAsia="仿宋_GB2312" w:cs="仿宋_GB2312"/>
                <w:kern w:val="0"/>
                <w:sz w:val="18"/>
                <w:szCs w:val="18"/>
                <w:highlight w:val="yellow"/>
                <w:lang w:eastAsia="zh-CN"/>
              </w:rPr>
            </w:pPr>
            <w:r>
              <w:rPr>
                <w:rFonts w:hint="eastAsia" w:ascii="仿宋_GB2312" w:hAnsi="仿宋_GB2312" w:eastAsia="仿宋_GB2312" w:cs="仿宋_GB2312"/>
                <w:kern w:val="0"/>
                <w:sz w:val="20"/>
                <w:szCs w:val="21"/>
                <w:highlight w:val="none"/>
                <w:lang w:eastAsia="zh-CN"/>
              </w:rPr>
              <w:t>负责全局水行政执法监督、行政诉讼、行政执法的监督指导工作；负责水行政法规的宣传教育及普法工作；组织对水事违法案件查处。实施最严格水资源管理制度相关工作，依照权限组织实施水资源取水许可、水资源论证等制度，指导水量分配工作并监督实施，组织编制水资源保护规划，指导饮用水水源保护有关工作。负责全区水资源的统一规划、开发、利用、管理和保护。</w:t>
            </w:r>
          </w:p>
        </w:tc>
        <w:tc>
          <w:tcPr>
            <w:tcW w:w="888" w:type="dxa"/>
            <w:gridSpan w:val="2"/>
            <w:vAlign w:val="center"/>
          </w:tcPr>
          <w:p>
            <w:pPr>
              <w:spacing w:line="0" w:lineRule="atLeast"/>
              <w:jc w:val="center"/>
              <w:rPr>
                <w:rFonts w:hint="eastAsia" w:ascii="仿宋_GB2312" w:hAnsi="仿宋_GB2312" w:eastAsia="仿宋_GB2312" w:cs="仿宋_GB2312"/>
                <w:kern w:val="0"/>
                <w:sz w:val="20"/>
                <w:szCs w:val="21"/>
                <w:lang w:eastAsia="zh-CN"/>
              </w:rPr>
            </w:pPr>
            <w:r>
              <w:rPr>
                <w:rFonts w:hint="eastAsia" w:ascii="仿宋_GB2312" w:hAnsi="仿宋_GB2312" w:eastAsia="仿宋_GB2312" w:cs="仿宋_GB2312"/>
                <w:kern w:val="0"/>
                <w:sz w:val="20"/>
                <w:szCs w:val="21"/>
                <w:lang w:eastAsia="zh-CN"/>
              </w:rPr>
              <w:t>何志勇</w:t>
            </w:r>
          </w:p>
        </w:tc>
        <w:tc>
          <w:tcPr>
            <w:tcW w:w="1013" w:type="dxa"/>
            <w:gridSpan w:val="2"/>
            <w:vAlign w:val="center"/>
          </w:tcPr>
          <w:p>
            <w:pPr>
              <w:spacing w:line="0" w:lineRule="atLeast"/>
              <w:jc w:val="center"/>
              <w:rPr>
                <w:rFonts w:hint="default" w:ascii="仿宋_GB2312" w:hAnsi="仿宋_GB2312" w:eastAsia="仿宋_GB2312" w:cs="仿宋_GB2312"/>
                <w:kern w:val="0"/>
                <w:sz w:val="20"/>
                <w:szCs w:val="21"/>
                <w:lang w:val="en-US" w:eastAsia="zh-CN"/>
              </w:rPr>
            </w:pPr>
            <w:r>
              <w:rPr>
                <w:rFonts w:hint="eastAsia" w:ascii="仿宋_GB2312" w:hAnsi="仿宋_GB2312" w:eastAsia="仿宋_GB2312" w:cs="仿宋_GB2312"/>
                <w:kern w:val="0"/>
                <w:sz w:val="20"/>
                <w:szCs w:val="21"/>
                <w:lang w:val="en-US" w:eastAsia="zh-CN"/>
              </w:rPr>
              <w:t>8817008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4" w:hRule="atLeast"/>
          <w:jc w:val="center"/>
        </w:trPr>
        <w:tc>
          <w:tcPr>
            <w:tcW w:w="1770" w:type="dxa"/>
            <w:vAlign w:val="center"/>
          </w:tcPr>
          <w:p>
            <w:pPr>
              <w:spacing w:line="0" w:lineRule="atLeast"/>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主要承担法制业务的科室</w:t>
            </w:r>
          </w:p>
        </w:tc>
        <w:tc>
          <w:tcPr>
            <w:tcW w:w="6930" w:type="dxa"/>
            <w:gridSpan w:val="13"/>
            <w:vAlign w:val="center"/>
          </w:tcPr>
          <w:p>
            <w:pPr>
              <w:spacing w:line="0" w:lineRule="atLeast"/>
              <w:jc w:val="center"/>
              <w:rPr>
                <w:rFonts w:hint="eastAsia" w:ascii="仿宋_GB2312" w:hAnsi="仿宋_GB2312" w:eastAsia="仿宋_GB2312" w:cs="仿宋_GB2312"/>
                <w:kern w:val="0"/>
                <w:sz w:val="20"/>
                <w:szCs w:val="21"/>
                <w:lang w:eastAsia="zh-CN"/>
              </w:rPr>
            </w:pPr>
            <w:r>
              <w:rPr>
                <w:rFonts w:hint="eastAsia" w:ascii="仿宋_GB2312" w:hAnsi="仿宋_GB2312" w:eastAsia="仿宋_GB2312" w:cs="仿宋_GB2312"/>
                <w:kern w:val="0"/>
                <w:sz w:val="20"/>
                <w:szCs w:val="21"/>
                <w:lang w:eastAsia="zh-CN"/>
              </w:rPr>
              <w:t>法规与水资源管理办公室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6" w:hRule="atLeast"/>
          <w:jc w:val="center"/>
        </w:trPr>
        <w:tc>
          <w:tcPr>
            <w:tcW w:w="1770" w:type="dxa"/>
            <w:vMerge w:val="restart"/>
            <w:vAlign w:val="center"/>
          </w:tcPr>
          <w:p>
            <w:pPr>
              <w:spacing w:line="0" w:lineRule="atLeast"/>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执法</w:t>
            </w:r>
          </w:p>
          <w:p>
            <w:pPr>
              <w:spacing w:line="0" w:lineRule="atLeast"/>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类型</w:t>
            </w:r>
          </w:p>
        </w:tc>
        <w:tc>
          <w:tcPr>
            <w:tcW w:w="750" w:type="dxa"/>
            <w:vAlign w:val="center"/>
          </w:tcPr>
          <w:p>
            <w:pPr>
              <w:spacing w:line="0" w:lineRule="atLeast"/>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行政</w:t>
            </w:r>
          </w:p>
          <w:p>
            <w:pPr>
              <w:spacing w:line="0" w:lineRule="atLeast"/>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许可</w:t>
            </w:r>
          </w:p>
        </w:tc>
        <w:tc>
          <w:tcPr>
            <w:tcW w:w="510" w:type="dxa"/>
            <w:gridSpan w:val="2"/>
            <w:vAlign w:val="center"/>
          </w:tcPr>
          <w:p>
            <w:pPr>
              <w:spacing w:line="0" w:lineRule="atLeast"/>
              <w:jc w:val="center"/>
              <w:rPr>
                <w:rFonts w:ascii="仿宋_GB2312" w:hAnsi="仿宋_GB2312" w:eastAsia="仿宋_GB2312" w:cs="仿宋_GB2312"/>
                <w:kern w:val="0"/>
                <w:sz w:val="20"/>
                <w:szCs w:val="21"/>
              </w:rPr>
            </w:pPr>
            <w:r>
              <w:rPr>
                <w:rFonts w:hint="eastAsia" w:ascii="微软雅黑" w:hAnsi="微软雅黑" w:eastAsia="微软雅黑" w:cs="微软雅黑"/>
                <w:kern w:val="0"/>
                <w:sz w:val="20"/>
                <w:szCs w:val="21"/>
              </w:rPr>
              <w:t>√</w:t>
            </w:r>
          </w:p>
        </w:tc>
        <w:tc>
          <w:tcPr>
            <w:tcW w:w="645" w:type="dxa"/>
            <w:vAlign w:val="center"/>
          </w:tcPr>
          <w:p>
            <w:pPr>
              <w:spacing w:line="0" w:lineRule="atLeast"/>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行政裁决</w:t>
            </w:r>
          </w:p>
        </w:tc>
        <w:tc>
          <w:tcPr>
            <w:tcW w:w="675" w:type="dxa"/>
            <w:vAlign w:val="center"/>
          </w:tcPr>
          <w:p>
            <w:pPr>
              <w:spacing w:line="0" w:lineRule="atLeast"/>
              <w:jc w:val="center"/>
              <w:rPr>
                <w:rFonts w:ascii="仿宋_GB2312" w:hAnsi="仿宋_GB2312" w:eastAsia="仿宋_GB2312" w:cs="仿宋_GB2312"/>
                <w:kern w:val="0"/>
                <w:sz w:val="20"/>
                <w:szCs w:val="21"/>
              </w:rPr>
            </w:pPr>
          </w:p>
        </w:tc>
        <w:tc>
          <w:tcPr>
            <w:tcW w:w="750" w:type="dxa"/>
            <w:vAlign w:val="center"/>
          </w:tcPr>
          <w:p>
            <w:pPr>
              <w:spacing w:line="0" w:lineRule="atLeast"/>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行政</w:t>
            </w:r>
          </w:p>
          <w:p>
            <w:pPr>
              <w:spacing w:line="0" w:lineRule="atLeast"/>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收费</w:t>
            </w:r>
          </w:p>
        </w:tc>
        <w:tc>
          <w:tcPr>
            <w:tcW w:w="660" w:type="dxa"/>
            <w:vAlign w:val="center"/>
          </w:tcPr>
          <w:p>
            <w:pPr>
              <w:spacing w:line="0" w:lineRule="atLeast"/>
              <w:jc w:val="center"/>
              <w:rPr>
                <w:rFonts w:ascii="仿宋_GB2312" w:hAnsi="仿宋_GB2312" w:eastAsia="仿宋_GB2312" w:cs="仿宋_GB2312"/>
                <w:kern w:val="0"/>
                <w:sz w:val="20"/>
                <w:szCs w:val="21"/>
              </w:rPr>
            </w:pPr>
          </w:p>
        </w:tc>
        <w:tc>
          <w:tcPr>
            <w:tcW w:w="750" w:type="dxa"/>
            <w:vAlign w:val="center"/>
          </w:tcPr>
          <w:p>
            <w:pPr>
              <w:spacing w:line="0" w:lineRule="atLeast"/>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行政</w:t>
            </w:r>
          </w:p>
          <w:p>
            <w:pPr>
              <w:spacing w:line="0" w:lineRule="atLeast"/>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征收</w:t>
            </w:r>
          </w:p>
        </w:tc>
        <w:tc>
          <w:tcPr>
            <w:tcW w:w="645" w:type="dxa"/>
            <w:gridSpan w:val="2"/>
            <w:vAlign w:val="center"/>
          </w:tcPr>
          <w:p>
            <w:pPr>
              <w:spacing w:line="0" w:lineRule="atLeast"/>
              <w:jc w:val="center"/>
              <w:rPr>
                <w:rFonts w:ascii="仿宋_GB2312" w:hAnsi="仿宋_GB2312" w:eastAsia="仿宋_GB2312" w:cs="仿宋_GB2312"/>
                <w:kern w:val="0"/>
                <w:sz w:val="20"/>
                <w:szCs w:val="21"/>
              </w:rPr>
            </w:pPr>
            <w:r>
              <w:rPr>
                <w:rFonts w:hint="eastAsia" w:ascii="微软雅黑" w:hAnsi="微软雅黑" w:eastAsia="微软雅黑" w:cs="微软雅黑"/>
                <w:kern w:val="0"/>
                <w:sz w:val="20"/>
                <w:szCs w:val="21"/>
              </w:rPr>
              <w:t>√</w:t>
            </w:r>
          </w:p>
        </w:tc>
        <w:tc>
          <w:tcPr>
            <w:tcW w:w="978" w:type="dxa"/>
            <w:gridSpan w:val="2"/>
            <w:vAlign w:val="center"/>
          </w:tcPr>
          <w:p>
            <w:pPr>
              <w:spacing w:line="0" w:lineRule="atLeast"/>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行政</w:t>
            </w:r>
          </w:p>
          <w:p>
            <w:pPr>
              <w:spacing w:line="0" w:lineRule="atLeast"/>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确认</w:t>
            </w:r>
          </w:p>
          <w:p>
            <w:pPr>
              <w:spacing w:line="0" w:lineRule="atLeast"/>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（登记）</w:t>
            </w:r>
          </w:p>
        </w:tc>
        <w:tc>
          <w:tcPr>
            <w:tcW w:w="567" w:type="dxa"/>
            <w:vAlign w:val="center"/>
          </w:tcPr>
          <w:p>
            <w:pPr>
              <w:spacing w:line="0" w:lineRule="atLeast"/>
              <w:jc w:val="center"/>
              <w:rPr>
                <w:rFonts w:ascii="仿宋_GB2312" w:hAnsi="仿宋_GB2312" w:eastAsia="仿宋_GB2312" w:cs="仿宋_GB2312"/>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7" w:hRule="atLeast"/>
          <w:jc w:val="center"/>
        </w:trPr>
        <w:tc>
          <w:tcPr>
            <w:tcW w:w="1770" w:type="dxa"/>
            <w:vMerge w:val="continue"/>
            <w:vAlign w:val="center"/>
          </w:tcPr>
          <w:p>
            <w:pPr>
              <w:spacing w:line="0" w:lineRule="atLeast"/>
              <w:rPr>
                <w:rFonts w:ascii="仿宋_GB2312" w:hAnsi="仿宋_GB2312" w:eastAsia="仿宋_GB2312" w:cs="仿宋_GB2312"/>
                <w:kern w:val="0"/>
                <w:sz w:val="20"/>
                <w:szCs w:val="21"/>
              </w:rPr>
            </w:pPr>
          </w:p>
        </w:tc>
        <w:tc>
          <w:tcPr>
            <w:tcW w:w="750" w:type="dxa"/>
            <w:vAlign w:val="center"/>
          </w:tcPr>
          <w:p>
            <w:pPr>
              <w:spacing w:line="0" w:lineRule="atLeast"/>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行政</w:t>
            </w:r>
          </w:p>
          <w:p>
            <w:pPr>
              <w:spacing w:line="0" w:lineRule="atLeast"/>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强制</w:t>
            </w:r>
          </w:p>
        </w:tc>
        <w:tc>
          <w:tcPr>
            <w:tcW w:w="510" w:type="dxa"/>
            <w:gridSpan w:val="2"/>
            <w:vAlign w:val="center"/>
          </w:tcPr>
          <w:p>
            <w:pPr>
              <w:spacing w:line="0" w:lineRule="atLeast"/>
              <w:jc w:val="center"/>
              <w:rPr>
                <w:rFonts w:ascii="仿宋_GB2312" w:hAnsi="仿宋_GB2312" w:eastAsia="仿宋_GB2312" w:cs="仿宋_GB2312"/>
                <w:kern w:val="0"/>
                <w:sz w:val="20"/>
                <w:szCs w:val="21"/>
              </w:rPr>
            </w:pPr>
            <w:r>
              <w:rPr>
                <w:rFonts w:hint="eastAsia" w:ascii="微软雅黑" w:hAnsi="微软雅黑" w:eastAsia="微软雅黑" w:cs="微软雅黑"/>
                <w:kern w:val="0"/>
                <w:sz w:val="20"/>
                <w:szCs w:val="21"/>
              </w:rPr>
              <w:t>√</w:t>
            </w:r>
          </w:p>
        </w:tc>
        <w:tc>
          <w:tcPr>
            <w:tcW w:w="645" w:type="dxa"/>
            <w:vAlign w:val="center"/>
          </w:tcPr>
          <w:p>
            <w:pPr>
              <w:spacing w:line="0" w:lineRule="atLeast"/>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行政检查</w:t>
            </w:r>
          </w:p>
        </w:tc>
        <w:tc>
          <w:tcPr>
            <w:tcW w:w="675" w:type="dxa"/>
            <w:vAlign w:val="center"/>
          </w:tcPr>
          <w:p>
            <w:pPr>
              <w:spacing w:line="0" w:lineRule="atLeast"/>
              <w:jc w:val="center"/>
              <w:rPr>
                <w:rFonts w:ascii="仿宋_GB2312" w:hAnsi="仿宋_GB2312" w:eastAsia="仿宋_GB2312" w:cs="仿宋_GB2312"/>
                <w:kern w:val="0"/>
                <w:sz w:val="20"/>
                <w:szCs w:val="21"/>
              </w:rPr>
            </w:pPr>
            <w:r>
              <w:rPr>
                <w:rFonts w:hint="eastAsia" w:ascii="微软雅黑" w:hAnsi="微软雅黑" w:eastAsia="微软雅黑" w:cs="微软雅黑"/>
                <w:kern w:val="0"/>
                <w:sz w:val="20"/>
                <w:szCs w:val="21"/>
              </w:rPr>
              <w:t>√</w:t>
            </w:r>
          </w:p>
        </w:tc>
        <w:tc>
          <w:tcPr>
            <w:tcW w:w="750" w:type="dxa"/>
            <w:vAlign w:val="center"/>
          </w:tcPr>
          <w:p>
            <w:pPr>
              <w:spacing w:line="0" w:lineRule="atLeast"/>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行政</w:t>
            </w:r>
          </w:p>
          <w:p>
            <w:pPr>
              <w:spacing w:line="0" w:lineRule="atLeast"/>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处罚</w:t>
            </w:r>
          </w:p>
        </w:tc>
        <w:tc>
          <w:tcPr>
            <w:tcW w:w="660" w:type="dxa"/>
            <w:vAlign w:val="center"/>
          </w:tcPr>
          <w:p>
            <w:pPr>
              <w:spacing w:line="0" w:lineRule="atLeast"/>
              <w:jc w:val="center"/>
              <w:rPr>
                <w:rFonts w:ascii="仿宋_GB2312" w:hAnsi="仿宋_GB2312" w:eastAsia="仿宋_GB2312" w:cs="仿宋_GB2312"/>
                <w:kern w:val="0"/>
                <w:sz w:val="20"/>
                <w:szCs w:val="21"/>
              </w:rPr>
            </w:pPr>
            <w:r>
              <w:rPr>
                <w:rFonts w:hint="eastAsia" w:ascii="微软雅黑" w:hAnsi="微软雅黑" w:eastAsia="微软雅黑" w:cs="微软雅黑"/>
                <w:kern w:val="0"/>
                <w:sz w:val="20"/>
                <w:szCs w:val="21"/>
              </w:rPr>
              <w:t>√</w:t>
            </w:r>
          </w:p>
        </w:tc>
        <w:tc>
          <w:tcPr>
            <w:tcW w:w="750" w:type="dxa"/>
            <w:vAlign w:val="center"/>
          </w:tcPr>
          <w:p>
            <w:pPr>
              <w:spacing w:line="0" w:lineRule="atLeast"/>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行政</w:t>
            </w:r>
          </w:p>
          <w:p>
            <w:pPr>
              <w:spacing w:line="0" w:lineRule="atLeast"/>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给付</w:t>
            </w:r>
          </w:p>
        </w:tc>
        <w:tc>
          <w:tcPr>
            <w:tcW w:w="645" w:type="dxa"/>
            <w:gridSpan w:val="2"/>
            <w:vAlign w:val="center"/>
          </w:tcPr>
          <w:p>
            <w:pPr>
              <w:spacing w:line="0" w:lineRule="atLeast"/>
              <w:jc w:val="center"/>
              <w:rPr>
                <w:rFonts w:ascii="仿宋_GB2312" w:hAnsi="仿宋_GB2312" w:eastAsia="仿宋_GB2312" w:cs="仿宋_GB2312"/>
                <w:kern w:val="0"/>
                <w:sz w:val="20"/>
                <w:szCs w:val="21"/>
              </w:rPr>
            </w:pPr>
          </w:p>
        </w:tc>
        <w:tc>
          <w:tcPr>
            <w:tcW w:w="978" w:type="dxa"/>
            <w:gridSpan w:val="2"/>
            <w:vAlign w:val="center"/>
          </w:tcPr>
          <w:p>
            <w:pPr>
              <w:spacing w:line="0" w:lineRule="atLeast"/>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其他</w:t>
            </w:r>
          </w:p>
        </w:tc>
        <w:tc>
          <w:tcPr>
            <w:tcW w:w="567" w:type="dxa"/>
            <w:vAlign w:val="center"/>
          </w:tcPr>
          <w:p>
            <w:pPr>
              <w:spacing w:line="0" w:lineRule="atLeast"/>
              <w:jc w:val="center"/>
              <w:rPr>
                <w:rFonts w:ascii="仿宋_GB2312" w:hAnsi="仿宋_GB2312" w:eastAsia="仿宋_GB2312" w:cs="仿宋_GB2312"/>
                <w:kern w:val="0"/>
                <w:sz w:val="20"/>
                <w:szCs w:val="21"/>
              </w:rPr>
            </w:pPr>
            <w:r>
              <w:rPr>
                <w:rFonts w:hint="eastAsia" w:ascii="微软雅黑" w:hAnsi="微软雅黑" w:eastAsia="微软雅黑" w:cs="微软雅黑"/>
                <w:kern w:val="0"/>
                <w:sz w:val="2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5" w:hRule="atLeast"/>
          <w:jc w:val="center"/>
        </w:trPr>
        <w:tc>
          <w:tcPr>
            <w:tcW w:w="1770" w:type="dxa"/>
            <w:vAlign w:val="center"/>
          </w:tcPr>
          <w:p>
            <w:pPr>
              <w:spacing w:line="0" w:lineRule="atLeast"/>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执法</w:t>
            </w:r>
          </w:p>
          <w:p>
            <w:pPr>
              <w:spacing w:line="0" w:lineRule="atLeast"/>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依据（法律法规、地方性法规、政府规章、规范性文件）</w:t>
            </w:r>
          </w:p>
        </w:tc>
        <w:tc>
          <w:tcPr>
            <w:tcW w:w="6930" w:type="dxa"/>
            <w:gridSpan w:val="13"/>
            <w:vAlign w:val="center"/>
          </w:tcPr>
          <w:p>
            <w:pPr>
              <w:spacing w:line="0" w:lineRule="atLeast"/>
              <w:rPr>
                <w:rFonts w:hint="eastAsia" w:ascii="仿宋_GB2312" w:hAnsi="仿宋_GB2312" w:eastAsia="仿宋_GB2312" w:cs="仿宋_GB2312"/>
                <w:kern w:val="0"/>
                <w:sz w:val="20"/>
                <w:szCs w:val="21"/>
                <w:lang w:val="en-US" w:eastAsia="zh-CN"/>
              </w:rPr>
            </w:pPr>
            <w:r>
              <w:rPr>
                <w:rFonts w:hint="eastAsia" w:ascii="仿宋_GB2312" w:hAnsi="仿宋_GB2312" w:eastAsia="仿宋_GB2312" w:cs="仿宋_GB2312"/>
                <w:kern w:val="0"/>
                <w:sz w:val="20"/>
                <w:szCs w:val="21"/>
                <w:lang w:val="en-US" w:eastAsia="zh-CN"/>
              </w:rPr>
              <w:t>《中华人民共和国水法》、《中华人民共和国防洪法》、《中华人民共和国河道管理条例》、《中华人民共和国水文条例》、《中华人民共和国水土保持法》、《中华人民共和国抗旱条例》、《取水许可和水资源费征收管理条例》（2017年国务院令第676号修改）、《水库大坝安全管理条例》(2018年国务院令第698修改号)、《宁夏回族自治区节约用水条例》、《宁夏回族自治区水工程管理条例》、《水行政许可实施办法》（2005年水利部令第23号）、《水利工程建设监理规定》（2006年水利部令第28号）、《水利工程质量监测管理规定》、《水利工程建设安全生产管理规定》（2017年水利部令第49号）、《建设工程质量管理条例》（2017年国务院令第687号修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27" w:hRule="atLeast"/>
          <w:jc w:val="center"/>
        </w:trPr>
        <w:tc>
          <w:tcPr>
            <w:tcW w:w="1770" w:type="dxa"/>
            <w:vAlign w:val="center"/>
          </w:tcPr>
          <w:p>
            <w:pPr>
              <w:spacing w:line="0" w:lineRule="atLeast"/>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监督机构及电话</w:t>
            </w:r>
          </w:p>
        </w:tc>
        <w:tc>
          <w:tcPr>
            <w:tcW w:w="6930" w:type="dxa"/>
            <w:gridSpan w:val="13"/>
            <w:vAlign w:val="center"/>
          </w:tcPr>
          <w:p>
            <w:pPr>
              <w:spacing w:line="0" w:lineRule="atLeast"/>
              <w:jc w:val="center"/>
              <w:rPr>
                <w:rFonts w:hint="default" w:ascii="仿宋_GB2312" w:hAnsi="仿宋_GB2312" w:eastAsia="仿宋_GB2312" w:cs="仿宋_GB2312"/>
                <w:kern w:val="0"/>
                <w:sz w:val="20"/>
                <w:szCs w:val="21"/>
                <w:lang w:val="en-US" w:eastAsia="zh-CN"/>
              </w:rPr>
            </w:pPr>
            <w:r>
              <w:rPr>
                <w:rFonts w:hint="eastAsia" w:ascii="仿宋_GB2312" w:hAnsi="仿宋_GB2312" w:eastAsia="仿宋_GB2312" w:cs="仿宋_GB2312"/>
                <w:kern w:val="0"/>
                <w:sz w:val="20"/>
                <w:szCs w:val="21"/>
                <w:lang w:eastAsia="zh-CN"/>
              </w:rPr>
              <w:t>办公室</w:t>
            </w:r>
            <w:r>
              <w:rPr>
                <w:rFonts w:hint="eastAsia" w:ascii="仿宋_GB2312" w:hAnsi="仿宋_GB2312" w:eastAsia="仿宋_GB2312" w:cs="仿宋_GB2312"/>
                <w:kern w:val="0"/>
                <w:sz w:val="20"/>
                <w:szCs w:val="21"/>
                <w:lang w:val="en-US" w:eastAsia="zh-CN"/>
              </w:rPr>
              <w:t xml:space="preserve">  7655586</w:t>
            </w:r>
          </w:p>
        </w:tc>
      </w:tr>
    </w:tbl>
    <w:p>
      <w:pPr>
        <w:spacing w:line="560" w:lineRule="exact"/>
        <w:sectPr>
          <w:footerReference r:id="rId3" w:type="default"/>
          <w:pgSz w:w="11906" w:h="16838"/>
          <w:pgMar w:top="1985" w:right="1474" w:bottom="1758" w:left="1588" w:header="851" w:footer="992" w:gutter="0"/>
          <w:cols w:space="425" w:num="1"/>
          <w:docGrid w:type="lines" w:linePitch="312" w:charSpace="0"/>
        </w:sectPr>
      </w:pPr>
    </w:p>
    <w:p/>
    <w:sectPr>
      <w:pgSz w:w="16838" w:h="11906" w:orient="landscape"/>
      <w:pgMar w:top="1803" w:right="1440" w:bottom="1803" w:left="1440"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4536001"/>
    </w:sdtPr>
    <w:sdtContent>
      <w:p>
        <w:pPr>
          <w:pStyle w:val="2"/>
          <w:jc w:val="center"/>
        </w:pPr>
        <w:r>
          <w:fldChar w:fldCharType="begin"/>
        </w:r>
        <w:r>
          <w:instrText xml:space="preserve"> PAGE   \* MERGEFORMAT </w:instrText>
        </w:r>
        <w:r>
          <w:fldChar w:fldCharType="separate"/>
        </w:r>
        <w:r>
          <w:rPr>
            <w:lang w:val="zh-CN"/>
          </w:rPr>
          <w:t>7</w:t>
        </w:r>
        <w: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8B744D"/>
    <w:rsid w:val="0160049A"/>
    <w:rsid w:val="0201686D"/>
    <w:rsid w:val="0C1831C0"/>
    <w:rsid w:val="0D9C19F0"/>
    <w:rsid w:val="114B32FC"/>
    <w:rsid w:val="144E4B4A"/>
    <w:rsid w:val="158B744D"/>
    <w:rsid w:val="1F8134B5"/>
    <w:rsid w:val="226503CF"/>
    <w:rsid w:val="25A919E0"/>
    <w:rsid w:val="2A9E6CE6"/>
    <w:rsid w:val="2D043A05"/>
    <w:rsid w:val="2DA11D8E"/>
    <w:rsid w:val="2E2342C5"/>
    <w:rsid w:val="327E3595"/>
    <w:rsid w:val="33A92A44"/>
    <w:rsid w:val="345D3D37"/>
    <w:rsid w:val="37F7077C"/>
    <w:rsid w:val="383D088C"/>
    <w:rsid w:val="38B87DBC"/>
    <w:rsid w:val="399E0A29"/>
    <w:rsid w:val="3BDB4C22"/>
    <w:rsid w:val="489E3140"/>
    <w:rsid w:val="48D908BF"/>
    <w:rsid w:val="5128218C"/>
    <w:rsid w:val="547B399B"/>
    <w:rsid w:val="54D0032A"/>
    <w:rsid w:val="550A1EB8"/>
    <w:rsid w:val="5A1050CB"/>
    <w:rsid w:val="5A6E347B"/>
    <w:rsid w:val="5AA7606A"/>
    <w:rsid w:val="623C746A"/>
    <w:rsid w:val="62EF615A"/>
    <w:rsid w:val="631C3BD0"/>
    <w:rsid w:val="65555DF2"/>
    <w:rsid w:val="65706ACF"/>
    <w:rsid w:val="670E39C9"/>
    <w:rsid w:val="67640BB7"/>
    <w:rsid w:val="6A787B4F"/>
    <w:rsid w:val="6C6458AE"/>
    <w:rsid w:val="6CBF1A0B"/>
    <w:rsid w:val="7114730C"/>
    <w:rsid w:val="768E083D"/>
    <w:rsid w:val="77B53DAD"/>
    <w:rsid w:val="78566B0F"/>
    <w:rsid w:val="78C57045"/>
    <w:rsid w:val="790E2F1C"/>
    <w:rsid w:val="797F15C6"/>
    <w:rsid w:val="7A70570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next w:val="3"/>
    <w:qFormat/>
    <w:uiPriority w:val="0"/>
    <w:pPr>
      <w:tabs>
        <w:tab w:val="center" w:pos="4153"/>
        <w:tab w:val="right" w:pos="8306"/>
      </w:tabs>
      <w:snapToGrid w:val="0"/>
      <w:jc w:val="left"/>
    </w:pPr>
    <w:rPr>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widowControl/>
      <w:jc w:val="left"/>
    </w:pPr>
    <w:rPr>
      <w:rFonts w:ascii="宋体" w:hAnsi="宋体" w:cs="宋体"/>
      <w:kern w:val="0"/>
      <w:sz w:val="24"/>
    </w:rPr>
  </w:style>
  <w:style w:type="table" w:styleId="6">
    <w:name w:val="Table Grid"/>
    <w:basedOn w:val="5"/>
    <w:qFormat/>
    <w:uiPriority w:val="0"/>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105</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2017-05-01T12:05:00Z</dcterms:created>
  <dc:creator>匿名用户</dc:creator>
  <cp:lastModifiedBy>暖暖的就好</cp:lastModifiedBy>
  <cp:lastPrinted>2019-08-21T09:19:00Z</cp:lastPrinted>
  <dcterms:modified xsi:type="dcterms:W3CDTF">2019-08-22T01:10:55Z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