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沙坡头区审计局</w:t>
      </w:r>
      <w:r>
        <w:rPr>
          <w:rFonts w:eastAsia="仿宋_GB2312"/>
          <w:b/>
          <w:kern w:val="0"/>
          <w:sz w:val="36"/>
          <w:szCs w:val="36"/>
        </w:rPr>
        <w:t>2018年部门预算——预算表</w:t>
      </w:r>
    </w:p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119.45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119.45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10.11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141.68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141.68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审计业务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103.38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141.68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111.68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38.3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57.19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89.45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32.26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56.4%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审计业务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6.77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3.34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1.37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0.65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1.95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47.45%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111.68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97.97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48.77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7.45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int="eastAsia" w:hAnsi="宋体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0.1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Style w:val="8"/>
        <w:tblW w:w="124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7560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141.68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119.45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119.45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10.11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10.11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6.06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141.68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141.68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8"/>
        <w:tblW w:w="13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审计业务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16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16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630" w:firstLineChars="196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8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141.68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111.68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89.45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89.45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2010804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审计业务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10.11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4.04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   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6.06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1A0"/>
    <w:rsid w:val="008101A0"/>
    <w:rsid w:val="00841186"/>
    <w:rsid w:val="00EA7662"/>
    <w:rsid w:val="42C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869</Words>
  <Characters>4956</Characters>
  <Lines>41</Lines>
  <Paragraphs>11</Paragraphs>
  <ScaleCrop>false</ScaleCrop>
  <LinksUpToDate>false</LinksUpToDate>
  <CharactersWithSpaces>5814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2018-02-09T08:56:00Z</dcterms:created>
  <dc:creator>Windows 用户</dc:creator>
  <cp:lastModifiedBy>Administrator</cp:lastModifiedBy>
  <dcterms:modified xsi:type="dcterms:W3CDTF">2018-02-10T02:35:00Z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