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中卫市沙坡头区审计局</w:t>
      </w:r>
      <w:r>
        <w:rPr>
          <w:rFonts w:hint="eastAsia" w:ascii="方正小标宋_GBK" w:hAnsi="方正小标宋_GBK" w:eastAsia="方正小标宋_GBK" w:cs="方正小标宋_GBK"/>
          <w:sz w:val="44"/>
          <w:szCs w:val="44"/>
        </w:rPr>
        <w:t>行政执法主体资格清单</w:t>
      </w:r>
    </w:p>
    <w:p>
      <w:pPr>
        <w:spacing w:line="560" w:lineRule="exact"/>
        <w:jc w:val="center"/>
        <w:rPr>
          <w:rFonts w:ascii="楷体" w:hAnsi="楷体" w:eastAsia="楷体" w:cs="仿宋_GB2312"/>
          <w:sz w:val="32"/>
          <w:szCs w:val="32"/>
        </w:rPr>
      </w:pPr>
      <w:r>
        <w:rPr>
          <w:rFonts w:hint="eastAsia" w:ascii="楷体" w:hAnsi="楷体" w:eastAsia="楷体" w:cs="仿宋_GB2312"/>
          <w:sz w:val="32"/>
          <w:szCs w:val="32"/>
        </w:rPr>
        <w:t>（行政机关）</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014"/>
        <w:gridCol w:w="420"/>
        <w:gridCol w:w="90"/>
        <w:gridCol w:w="645"/>
        <w:gridCol w:w="675"/>
        <w:gridCol w:w="750"/>
        <w:gridCol w:w="660"/>
        <w:gridCol w:w="750"/>
        <w:gridCol w:w="56"/>
        <w:gridCol w:w="589"/>
        <w:gridCol w:w="416"/>
        <w:gridCol w:w="56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2844" w:type="dxa"/>
            <w:gridSpan w:val="5"/>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中卫市沙坡头区审计局</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单位地址</w:t>
            </w:r>
          </w:p>
        </w:tc>
        <w:tc>
          <w:tcPr>
            <w:tcW w:w="2940" w:type="dxa"/>
            <w:gridSpan w:val="6"/>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中卫市社会福利院原中卫市民政局一楼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法定代表人</w:t>
            </w:r>
          </w:p>
        </w:tc>
        <w:tc>
          <w:tcPr>
            <w:tcW w:w="2844" w:type="dxa"/>
            <w:gridSpan w:val="5"/>
            <w:vAlign w:val="center"/>
          </w:tcPr>
          <w:p>
            <w:pPr>
              <w:spacing w:line="0" w:lineRule="atLeast"/>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kern w:val="0"/>
                <w:sz w:val="20"/>
                <w:szCs w:val="21"/>
                <w:lang w:eastAsia="zh-CN"/>
              </w:rPr>
              <w:t>秦玲</w:t>
            </w:r>
          </w:p>
        </w:tc>
        <w:tc>
          <w:tcPr>
            <w:tcW w:w="1410" w:type="dxa"/>
            <w:gridSpan w:val="2"/>
            <w:vAlign w:val="center"/>
          </w:tcPr>
          <w:p>
            <w:pPr>
              <w:spacing w:line="0" w:lineRule="atLeas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组织机构代码证号</w:t>
            </w:r>
          </w:p>
        </w:tc>
        <w:tc>
          <w:tcPr>
            <w:tcW w:w="2940" w:type="dxa"/>
            <w:gridSpan w:val="6"/>
            <w:vAlign w:val="center"/>
          </w:tcPr>
          <w:p>
            <w:pPr>
              <w:spacing w:line="0" w:lineRule="atLeast"/>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11642300MB0X307B47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7194" w:type="dxa"/>
            <w:gridSpan w:val="13"/>
            <w:vAlign w:val="center"/>
          </w:tcPr>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（一）贯彻实施有关法律、法规、规章和方针政策；拟订审计工作发展规划、专业领域审计工作规划、年度审计计划并组织实施；参与拟订财经方面的规范性文件。</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（二）负责对</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区区财政收支和审计监督范围内的财务收支的真实、合法和效益进行审计监督。</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（三）向</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区人民政府提交年度区级财政预算执行和其他财政收支情况的审计结果报告；受</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区政府委托向</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区人大常委会提出</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w:t>
            </w:r>
            <w:r>
              <w:rPr>
                <w:rFonts w:hint="eastAsia" w:ascii="仿宋_GB2312" w:hAnsi="仿宋_GB2312" w:eastAsia="仿宋_GB2312" w:cs="仿宋_GB2312"/>
                <w:kern w:val="0"/>
                <w:sz w:val="18"/>
                <w:szCs w:val="18"/>
              </w:rPr>
              <w:t>本</w:t>
            </w:r>
            <w:r>
              <w:rPr>
                <w:rFonts w:ascii="仿宋_GB2312" w:hAnsi="仿宋_GB2312" w:eastAsia="仿宋_GB2312" w:cs="仿宋_GB2312"/>
                <w:kern w:val="0"/>
                <w:sz w:val="18"/>
                <w:szCs w:val="18"/>
              </w:rPr>
              <w:t>级预算执行和其他财政收支情况审计工作报告、审计发现问题的整改落实报告；向</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区人民政府报告对其他事项的审计和专项审计调查情况及结果。</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（四）负责审计</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区本级预算执行情况和其他财政收支，乡（镇）人民政府、</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区属各部门（单位）预算执行情况、决算和其他财政收支，部门所属事业单位的财务收支。</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（五）负责审计政府投资和以政府投资为主的建设项目的预算执行情况和决算；负责审计</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区属国有企业、国有资本占控股或主导地位的企业的资产、负债、损益。</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（六）负责审计政府部门管理的和其他单位受</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区人民政府及其部门委托管理的社会保障基金、社会捐赠资金以及其他有关基金、资金的财务收支；负责审计上级审计机关统一组织和授权的事项。</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（七）负责对</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区管理的党政主要负责人、事业单位负责人和属于审计监督对象的其他单位主要负责人，依法实施经济责任审计。</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（八）负责组织实施财政预算管理或国有资产管理使用等与国家财政收支有关的特定事项的专项审计调查。</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（九）监督检查审计决定执行情况，督促纠正和处理审计发现的问题；负责办理审计行政复议、行政诉讼和</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区人民政府裁决中的有关事项。　</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（十）指导、监督内部审计、社会审计工作。</w:t>
            </w:r>
          </w:p>
          <w:p>
            <w:pPr>
              <w:keepNext w:val="0"/>
              <w:keepLines w:val="0"/>
              <w:pageBreakBefore w:val="0"/>
              <w:kinsoku/>
              <w:wordWrap/>
              <w:overflowPunct/>
              <w:topLinePunct w:val="0"/>
              <w:autoSpaceDE/>
              <w:autoSpaceDN/>
              <w:bidi w:val="0"/>
              <w:adjustRightInd/>
              <w:spacing w:line="200" w:lineRule="exact"/>
              <w:ind w:left="0" w:leftChars="0" w:right="0" w:rightChars="0"/>
              <w:jc w:val="both"/>
              <w:textAlignment w:val="auto"/>
              <w:outlineLvl w:val="9"/>
              <w:rPr>
                <w:rFonts w:ascii="仿宋_GB2312" w:hAnsi="仿宋_GB2312" w:eastAsia="仿宋_GB2312" w:cs="仿宋_GB2312"/>
                <w:kern w:val="0"/>
                <w:sz w:val="18"/>
                <w:szCs w:val="18"/>
              </w:rPr>
            </w:pPr>
            <w:r>
              <w:rPr>
                <w:rFonts w:ascii="仿宋_GB2312" w:hAnsi="仿宋_GB2312" w:eastAsia="仿宋_GB2312" w:cs="仿宋_GB2312"/>
                <w:kern w:val="0"/>
                <w:sz w:val="18"/>
                <w:szCs w:val="18"/>
              </w:rPr>
              <w:t>（十一）承办</w:t>
            </w:r>
            <w:r>
              <w:rPr>
                <w:rFonts w:hint="eastAsia" w:ascii="仿宋_GB2312" w:hAnsi="仿宋_GB2312" w:eastAsia="仿宋_GB2312" w:cs="仿宋_GB2312"/>
                <w:kern w:val="0"/>
                <w:sz w:val="18"/>
                <w:szCs w:val="18"/>
              </w:rPr>
              <w:t>沙坡头</w:t>
            </w:r>
            <w:r>
              <w:rPr>
                <w:rFonts w:ascii="仿宋_GB2312" w:hAnsi="仿宋_GB2312" w:eastAsia="仿宋_GB2312" w:cs="仿宋_GB2312"/>
                <w:kern w:val="0"/>
                <w:sz w:val="18"/>
                <w:szCs w:val="18"/>
              </w:rPr>
              <w:t>区人民政府交办的其他事项。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506" w:type="dxa"/>
            <w:vMerge w:val="restart"/>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内设机构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情况</w:t>
            </w:r>
          </w:p>
        </w:tc>
        <w:tc>
          <w:tcPr>
            <w:tcW w:w="1434" w:type="dxa"/>
            <w:gridSpan w:val="2"/>
            <w:tcBorders>
              <w:left w:val="single" w:color="auto" w:sz="4" w:space="0"/>
            </w:tcBorders>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名称</w:t>
            </w:r>
          </w:p>
        </w:tc>
        <w:tc>
          <w:tcPr>
            <w:tcW w:w="3626" w:type="dxa"/>
            <w:gridSpan w:val="7"/>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主要职责</w:t>
            </w:r>
          </w:p>
        </w:tc>
        <w:tc>
          <w:tcPr>
            <w:tcW w:w="1005"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机构负责人</w:t>
            </w:r>
          </w:p>
        </w:tc>
        <w:tc>
          <w:tcPr>
            <w:tcW w:w="1129"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06" w:type="dxa"/>
            <w:vMerge w:val="continue"/>
            <w:tcBorders>
              <w:right w:val="single" w:color="auto" w:sz="4" w:space="0"/>
            </w:tcBorders>
            <w:vAlign w:val="center"/>
          </w:tcPr>
          <w:p>
            <w:pPr>
              <w:spacing w:line="0" w:lineRule="atLeast"/>
              <w:jc w:val="center"/>
              <w:rPr>
                <w:rFonts w:ascii="仿宋_GB2312" w:hAnsi="仿宋_GB2312" w:eastAsia="仿宋_GB2312" w:cs="仿宋_GB2312"/>
                <w:kern w:val="0"/>
                <w:sz w:val="20"/>
                <w:szCs w:val="21"/>
              </w:rPr>
            </w:pPr>
          </w:p>
        </w:tc>
        <w:tc>
          <w:tcPr>
            <w:tcW w:w="1434" w:type="dxa"/>
            <w:gridSpan w:val="2"/>
            <w:tcBorders>
              <w:left w:val="single" w:color="auto" w:sz="4" w:space="0"/>
            </w:tcBorders>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综合办公室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具体负责组织人事、机关党建、党风廉政、精神文明、平安建设、扶贫、信息宣传、计划生育、文电、财务、保密、机要、信访、档案管理等工作；</w:t>
            </w:r>
            <w:r>
              <w:rPr>
                <w:rFonts w:hint="eastAsia" w:ascii="仿宋_GB2312" w:hAnsi="仿宋_GB2312" w:eastAsia="仿宋_GB2312" w:cs="仿宋_GB2312"/>
                <w:color w:val="000000"/>
                <w:sz w:val="18"/>
                <w:szCs w:val="18"/>
              </w:rPr>
              <w:t>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谭一品</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7616393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政策法规办公室</w:t>
            </w:r>
          </w:p>
          <w:p>
            <w:pPr>
              <w:spacing w:line="300" w:lineRule="exact"/>
              <w:jc w:val="center"/>
              <w:rPr>
                <w:rFonts w:hint="eastAsia" w:ascii="仿宋_GB2312" w:hAnsi="仿宋_GB2312" w:eastAsia="仿宋_GB2312" w:cs="仿宋_GB2312"/>
                <w:kern w:val="0"/>
                <w:sz w:val="18"/>
                <w:szCs w:val="18"/>
                <w:lang w:val="en-US" w:eastAsia="zh-CN"/>
              </w:rPr>
            </w:pP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审计业务制度的起草和审计项目计划管理；审理有关审计业务事项；负责本局审计法制工作，检查法规执行情况，办理审计行政复议和应诉；组织实施机关复核审计报告、审计意见书和审计决定书等。普法依法治理、依法行政、行政执法、审计档案管理、业务统计、行政裁决、复议、应诉等工作；实施审计项目计划指定的审计项目，核查社会审计机构出具的相关审计报告；承担指导和监督沙坡头区直属部门、乡镇内部审计工作；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路</w:t>
            </w: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lang w:eastAsia="zh-CN"/>
              </w:rPr>
              <w:t>洁</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8806351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经济责任审计办公室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根据上级及沙坡头区有关规定，负责沙坡头区党、政、群和事业单位主要领导干部任期经济责任审计工作；研究、提出有关加强或改进经济责任审计工作的建议、意见等。负责沙坡头区直属党政工作部门、事业单位和人民团体等单位党政主要领导干部和国有企业领导人员经济责任审计；负责本级经济责任审计工作联席会议的日常工作；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董斌</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8806351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财政企业审计办公室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沙坡头区本级财政预算执行情况和区直部门、乡镇财政预算执行情况和决算审计；负责地方国有企业、国有资本占控股或主导地位企业的资产、负债和损益情况审计；负责财政专项资金和政府管理的社会保障基金、社会捐赠资金、住房保障、资源能源和生态环境保护等资金、基金审计与调查；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高乐</w:t>
            </w:r>
            <w:bookmarkStart w:id="0" w:name="_GoBack"/>
            <w:bookmarkEnd w:id="0"/>
          </w:p>
        </w:tc>
        <w:tc>
          <w:tcPr>
            <w:tcW w:w="1129" w:type="dxa"/>
            <w:gridSpan w:val="2"/>
            <w:vAlign w:val="center"/>
          </w:tcPr>
          <w:p>
            <w:pPr>
              <w:spacing w:line="0" w:lineRule="atLeast"/>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7616391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506" w:type="dxa"/>
            <w:vMerge w:val="continue"/>
            <w:tcBorders>
              <w:right w:val="single" w:color="auto" w:sz="4" w:space="0"/>
            </w:tcBorders>
            <w:vAlign w:val="center"/>
          </w:tcPr>
          <w:p>
            <w:pPr>
              <w:spacing w:line="0" w:lineRule="atLeast"/>
              <w:rPr>
                <w:rFonts w:ascii="仿宋_GB2312" w:hAnsi="仿宋_GB2312" w:eastAsia="仿宋_GB2312" w:cs="仿宋_GB2312"/>
                <w:kern w:val="0"/>
                <w:sz w:val="20"/>
                <w:szCs w:val="21"/>
              </w:rPr>
            </w:pPr>
          </w:p>
        </w:tc>
        <w:tc>
          <w:tcPr>
            <w:tcW w:w="1434" w:type="dxa"/>
            <w:gridSpan w:val="2"/>
            <w:vAlign w:val="center"/>
          </w:tcPr>
          <w:p>
            <w:pPr>
              <w:spacing w:line="300" w:lineRule="exac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固定资产投资审计办公室</w:t>
            </w:r>
          </w:p>
        </w:tc>
        <w:tc>
          <w:tcPr>
            <w:tcW w:w="3626"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sz w:val="18"/>
                <w:szCs w:val="18"/>
              </w:rPr>
              <w:t>负责审计沙坡头区政府投资和以区政府投资为主的建设项目的预（概）算执行情况、决算及财务收支；负责审计沙坡头区直属国有及国有控股施工企业、房地产开发企业和设计、监理单位；开展相关专项审计调查；实施审计项目计划指定的审计项目，核查社会审计机构出具的相关审计报告；承办审计局交办的其他事项。</w:t>
            </w:r>
          </w:p>
        </w:tc>
        <w:tc>
          <w:tcPr>
            <w:tcW w:w="1005" w:type="dxa"/>
            <w:gridSpan w:val="2"/>
            <w:vAlign w:val="center"/>
          </w:tcPr>
          <w:p>
            <w:pPr>
              <w:spacing w:line="0" w:lineRule="atLeast"/>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马斌</w:t>
            </w:r>
          </w:p>
        </w:tc>
        <w:tc>
          <w:tcPr>
            <w:tcW w:w="1129" w:type="dxa"/>
            <w:gridSpan w:val="2"/>
            <w:vAlign w:val="center"/>
          </w:tcPr>
          <w:p>
            <w:pPr>
              <w:spacing w:line="0" w:lineRule="atLeast"/>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7620718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主要承担法制业务的科室</w:t>
            </w:r>
          </w:p>
        </w:tc>
        <w:tc>
          <w:tcPr>
            <w:tcW w:w="7194" w:type="dxa"/>
            <w:gridSpan w:val="13"/>
            <w:vAlign w:val="center"/>
          </w:tcPr>
          <w:p>
            <w:pPr>
              <w:spacing w:line="300" w:lineRule="exact"/>
              <w:jc w:val="center"/>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sz w:val="18"/>
                <w:szCs w:val="18"/>
              </w:rPr>
              <w:t>政策法规办公室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06" w:type="dxa"/>
            <w:vMerge w:val="restart"/>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类型</w:t>
            </w:r>
          </w:p>
        </w:tc>
        <w:tc>
          <w:tcPr>
            <w:tcW w:w="101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许可</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行政裁决</w:t>
            </w:r>
          </w:p>
        </w:tc>
        <w:tc>
          <w:tcPr>
            <w:tcW w:w="675"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收费</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征收</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确认</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（登记）</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vAlign w:val="center"/>
          </w:tcPr>
          <w:p>
            <w:pPr>
              <w:spacing w:line="0" w:lineRule="atLeast"/>
              <w:rPr>
                <w:rFonts w:ascii="仿宋_GB2312" w:hAnsi="仿宋_GB2312" w:eastAsia="仿宋_GB2312" w:cs="仿宋_GB2312"/>
                <w:kern w:val="0"/>
                <w:sz w:val="20"/>
                <w:szCs w:val="21"/>
              </w:rPr>
            </w:pPr>
          </w:p>
        </w:tc>
        <w:tc>
          <w:tcPr>
            <w:tcW w:w="1014"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强制</w:t>
            </w:r>
          </w:p>
        </w:tc>
        <w:tc>
          <w:tcPr>
            <w:tcW w:w="510" w:type="dxa"/>
            <w:gridSpan w:val="2"/>
            <w:vAlign w:val="center"/>
          </w:tcPr>
          <w:p>
            <w:pPr>
              <w:spacing w:line="0" w:lineRule="atLeast"/>
              <w:jc w:val="center"/>
              <w:rPr>
                <w:rFonts w:ascii="仿宋_GB2312" w:hAnsi="仿宋_GB2312" w:eastAsia="仿宋_GB2312" w:cs="仿宋_GB2312"/>
                <w:kern w:val="0"/>
                <w:sz w:val="20"/>
                <w:szCs w:val="21"/>
              </w:rPr>
            </w:pPr>
          </w:p>
        </w:tc>
        <w:tc>
          <w:tcPr>
            <w:tcW w:w="645"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行政检查</w:t>
            </w:r>
          </w:p>
        </w:tc>
        <w:tc>
          <w:tcPr>
            <w:tcW w:w="675" w:type="dxa"/>
            <w:vAlign w:val="center"/>
          </w:tcPr>
          <w:p>
            <w:pPr>
              <w:spacing w:line="0" w:lineRule="atLeast"/>
              <w:jc w:val="center"/>
              <w:rPr>
                <w:rFonts w:ascii="仿宋_GB2312" w:hAnsi="仿宋_GB2312" w:eastAsia="仿宋_GB2312" w:cs="仿宋_GB2312"/>
                <w:kern w:val="0"/>
                <w:sz w:val="20"/>
                <w:szCs w:val="21"/>
              </w:rPr>
            </w:pPr>
            <w:r>
              <w:rPr>
                <w:rFonts w:hint="eastAsia" w:ascii="微软雅黑" w:hAnsi="微软雅黑" w:eastAsia="微软雅黑" w:cs="微软雅黑"/>
                <w:kern w:val="0"/>
                <w:sz w:val="20"/>
                <w:szCs w:val="21"/>
              </w:rPr>
              <w:t>√</w:t>
            </w: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处罚</w:t>
            </w:r>
          </w:p>
        </w:tc>
        <w:tc>
          <w:tcPr>
            <w:tcW w:w="660" w:type="dxa"/>
            <w:vAlign w:val="center"/>
          </w:tcPr>
          <w:p>
            <w:pPr>
              <w:spacing w:line="0" w:lineRule="atLeast"/>
              <w:jc w:val="center"/>
              <w:rPr>
                <w:rFonts w:ascii="仿宋_GB2312" w:hAnsi="仿宋_GB2312" w:eastAsia="仿宋_GB2312" w:cs="仿宋_GB2312"/>
                <w:kern w:val="0"/>
                <w:sz w:val="20"/>
                <w:szCs w:val="21"/>
              </w:rPr>
            </w:pPr>
          </w:p>
        </w:tc>
        <w:tc>
          <w:tcPr>
            <w:tcW w:w="750"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行政</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给付</w:t>
            </w:r>
          </w:p>
        </w:tc>
        <w:tc>
          <w:tcPr>
            <w:tcW w:w="645" w:type="dxa"/>
            <w:gridSpan w:val="2"/>
            <w:vAlign w:val="center"/>
          </w:tcPr>
          <w:p>
            <w:pPr>
              <w:spacing w:line="0" w:lineRule="atLeast"/>
              <w:jc w:val="center"/>
              <w:rPr>
                <w:rFonts w:ascii="仿宋_GB2312" w:hAnsi="仿宋_GB2312" w:eastAsia="仿宋_GB2312" w:cs="仿宋_GB2312"/>
                <w:kern w:val="0"/>
                <w:sz w:val="20"/>
                <w:szCs w:val="21"/>
              </w:rPr>
            </w:pPr>
          </w:p>
        </w:tc>
        <w:tc>
          <w:tcPr>
            <w:tcW w:w="978" w:type="dxa"/>
            <w:gridSpan w:val="2"/>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w:t>
            </w:r>
          </w:p>
        </w:tc>
        <w:tc>
          <w:tcPr>
            <w:tcW w:w="567" w:type="dxa"/>
            <w:vAlign w:val="center"/>
          </w:tcPr>
          <w:p>
            <w:pPr>
              <w:spacing w:line="0" w:lineRule="atLeast"/>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执法</w:t>
            </w:r>
          </w:p>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依据（法律法规、地方性法规、政府规章、规范性文件）</w:t>
            </w:r>
          </w:p>
        </w:tc>
        <w:tc>
          <w:tcPr>
            <w:tcW w:w="7194"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《中华人民共和国审计法》、《中华人民共和国审计法实施条例》、《审计机关监督社会审计组织审计业务质量的暂行规定》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18"/>
                <w:szCs w:val="18"/>
                <w:lang w:val="en-US" w:eastAsia="zh-CN"/>
              </w:rPr>
            </w:pPr>
          </w:p>
          <w:p>
            <w:pPr>
              <w:pStyle w:val="3"/>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506" w:type="dxa"/>
            <w:vAlign w:val="center"/>
          </w:tcPr>
          <w:p>
            <w:pPr>
              <w:spacing w:line="0" w:lineRule="atLeas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监督机构及电话</w:t>
            </w:r>
          </w:p>
        </w:tc>
        <w:tc>
          <w:tcPr>
            <w:tcW w:w="7194" w:type="dxa"/>
            <w:gridSpan w:val="13"/>
            <w:vAlign w:val="center"/>
          </w:tcPr>
          <w:p>
            <w:pPr>
              <w:spacing w:line="0" w:lineRule="atLeast"/>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sz w:val="18"/>
                <w:szCs w:val="18"/>
              </w:rPr>
              <w:t>综合办公室</w:t>
            </w:r>
            <w:r>
              <w:rPr>
                <w:rFonts w:hint="eastAsia" w:ascii="仿宋_GB2312" w:hAnsi="仿宋_GB2312" w:eastAsia="仿宋_GB2312" w:cs="仿宋_GB2312"/>
                <w:kern w:val="0"/>
                <w:sz w:val="20"/>
                <w:szCs w:val="21"/>
                <w:lang w:val="en-US" w:eastAsia="zh-CN"/>
              </w:rPr>
              <w:t xml:space="preserve">  7616393</w:t>
            </w:r>
          </w:p>
        </w:tc>
      </w:tr>
    </w:tbl>
    <w:p>
      <w:pPr>
        <w:spacing w:line="560" w:lineRule="exact"/>
        <w:sectPr>
          <w:footerReference r:id="rId3" w:type="default"/>
          <w:pgSz w:w="11906" w:h="16838"/>
          <w:pgMar w:top="1985" w:right="1474" w:bottom="1758" w:left="1588" w:header="851" w:footer="992" w:gutter="0"/>
          <w:cols w:space="425" w:num="1"/>
          <w:docGrid w:type="lines" w:linePitch="312" w:charSpace="0"/>
        </w:sect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6001"/>
    </w:sdtPr>
    <w:sdtContent>
      <w:p>
        <w:pPr>
          <w:pStyle w:val="2"/>
          <w:jc w:val="center"/>
        </w:pPr>
        <w:r>
          <w:fldChar w:fldCharType="begin"/>
        </w:r>
        <w:r>
          <w:instrText xml:space="preserve"> PAGE   \* MERGEFORMAT </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B744D"/>
    <w:rsid w:val="0160049A"/>
    <w:rsid w:val="0201686D"/>
    <w:rsid w:val="061C2F0C"/>
    <w:rsid w:val="06765348"/>
    <w:rsid w:val="0C1831C0"/>
    <w:rsid w:val="0D9C19F0"/>
    <w:rsid w:val="0E5F56E6"/>
    <w:rsid w:val="144E4B4A"/>
    <w:rsid w:val="158B744D"/>
    <w:rsid w:val="1FAC2B21"/>
    <w:rsid w:val="25A919E0"/>
    <w:rsid w:val="2A9E6CE6"/>
    <w:rsid w:val="2D043A05"/>
    <w:rsid w:val="2E2342C5"/>
    <w:rsid w:val="33A92A44"/>
    <w:rsid w:val="345D3D37"/>
    <w:rsid w:val="37F7077C"/>
    <w:rsid w:val="383D088C"/>
    <w:rsid w:val="38B87DBC"/>
    <w:rsid w:val="399E0A29"/>
    <w:rsid w:val="48D908BF"/>
    <w:rsid w:val="5128218C"/>
    <w:rsid w:val="547B399B"/>
    <w:rsid w:val="54D0032A"/>
    <w:rsid w:val="550A1EB8"/>
    <w:rsid w:val="57DD4CFA"/>
    <w:rsid w:val="5A1050CB"/>
    <w:rsid w:val="5A5D3CC4"/>
    <w:rsid w:val="5A6E347B"/>
    <w:rsid w:val="623C746A"/>
    <w:rsid w:val="62EF615A"/>
    <w:rsid w:val="631C3BD0"/>
    <w:rsid w:val="65555DF2"/>
    <w:rsid w:val="65706ACF"/>
    <w:rsid w:val="670E39C9"/>
    <w:rsid w:val="6CBF1A0B"/>
    <w:rsid w:val="7114730C"/>
    <w:rsid w:val="727B5C14"/>
    <w:rsid w:val="768E083D"/>
    <w:rsid w:val="77B53DAD"/>
    <w:rsid w:val="78566B0F"/>
    <w:rsid w:val="78C57045"/>
    <w:rsid w:val="790E2F1C"/>
    <w:rsid w:val="797F1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jc w:val="left"/>
    </w:pPr>
    <w:rPr>
      <w:rFonts w:ascii="宋体" w:hAnsi="宋体" w:cs="宋体"/>
      <w:kern w:val="0"/>
      <w:sz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2017-05-01T12:05:00Z</dcterms:created>
  <dc:creator>匿名用户</dc:creator>
  <cp:lastModifiedBy>you look charming today.</cp:lastModifiedBy>
  <dcterms:modified xsi:type="dcterms:W3CDTF">2021-09-29T09:13:50Z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394503673_btnclosed</vt:lpwstr>
  </property>
</Properties>
</file>