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中卫市沙坡头区审计局</w:t>
      </w:r>
      <w:r>
        <w:rPr>
          <w:rFonts w:hint="eastAsia" w:ascii="方正小标宋_GBK" w:hAnsi="方正小标宋_GBK" w:eastAsia="方正小标宋_GBK" w:cs="方正小标宋_GBK"/>
          <w:sz w:val="44"/>
          <w:szCs w:val="44"/>
        </w:rPr>
        <w:t>行政执法主体资格清单</w:t>
      </w:r>
    </w:p>
    <w:p>
      <w:pPr>
        <w:spacing w:line="560" w:lineRule="exact"/>
        <w:jc w:val="center"/>
        <w:rPr>
          <w:rFonts w:ascii="楷体" w:hAnsi="楷体" w:eastAsia="楷体" w:cs="仿宋_GB2312"/>
          <w:sz w:val="32"/>
          <w:szCs w:val="32"/>
        </w:rPr>
      </w:pPr>
      <w:r>
        <w:rPr>
          <w:rFonts w:hint="eastAsia" w:ascii="楷体" w:hAnsi="楷体" w:eastAsia="楷体" w:cs="仿宋_GB2312"/>
          <w:sz w:val="32"/>
          <w:szCs w:val="32"/>
        </w:rPr>
        <w:t>（行政机关）</w:t>
      </w:r>
    </w:p>
    <w:tbl>
      <w:tblPr>
        <w:tblStyle w:val="6"/>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1014"/>
        <w:gridCol w:w="420"/>
        <w:gridCol w:w="90"/>
        <w:gridCol w:w="645"/>
        <w:gridCol w:w="675"/>
        <w:gridCol w:w="750"/>
        <w:gridCol w:w="660"/>
        <w:gridCol w:w="750"/>
        <w:gridCol w:w="56"/>
        <w:gridCol w:w="589"/>
        <w:gridCol w:w="416"/>
        <w:gridCol w:w="562"/>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506"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单位</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名称</w:t>
            </w:r>
          </w:p>
        </w:tc>
        <w:tc>
          <w:tcPr>
            <w:tcW w:w="2844" w:type="dxa"/>
            <w:gridSpan w:val="5"/>
            <w:vAlign w:val="center"/>
          </w:tcPr>
          <w:p>
            <w:pPr>
              <w:spacing w:line="0" w:lineRule="atLeast"/>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中卫市沙坡头区审计局</w:t>
            </w:r>
          </w:p>
        </w:tc>
        <w:tc>
          <w:tcPr>
            <w:tcW w:w="1410" w:type="dxa"/>
            <w:gridSpan w:val="2"/>
            <w:vAlign w:val="center"/>
          </w:tcPr>
          <w:p>
            <w:pPr>
              <w:spacing w:line="0" w:lineRule="atLeas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单位地址</w:t>
            </w:r>
          </w:p>
        </w:tc>
        <w:tc>
          <w:tcPr>
            <w:tcW w:w="2940" w:type="dxa"/>
            <w:gridSpan w:val="6"/>
            <w:vAlign w:val="center"/>
          </w:tcPr>
          <w:p>
            <w:pPr>
              <w:spacing w:line="0" w:lineRule="atLeast"/>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eastAsia="zh-CN"/>
              </w:rPr>
              <w:t>中卫市沙坡头区滨河镇老年公寓原民政局办公楼一楼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506"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法定代表人</w:t>
            </w:r>
          </w:p>
        </w:tc>
        <w:tc>
          <w:tcPr>
            <w:tcW w:w="2844" w:type="dxa"/>
            <w:gridSpan w:val="5"/>
            <w:vAlign w:val="center"/>
          </w:tcPr>
          <w:p>
            <w:pPr>
              <w:spacing w:line="0" w:lineRule="atLeast"/>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秦玲</w:t>
            </w:r>
          </w:p>
        </w:tc>
        <w:tc>
          <w:tcPr>
            <w:tcW w:w="1410" w:type="dxa"/>
            <w:gridSpan w:val="2"/>
            <w:vAlign w:val="center"/>
          </w:tcPr>
          <w:p>
            <w:pPr>
              <w:spacing w:line="0" w:lineRule="atLeas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组织机构代码证号</w:t>
            </w:r>
          </w:p>
        </w:tc>
        <w:tc>
          <w:tcPr>
            <w:tcW w:w="2940" w:type="dxa"/>
            <w:gridSpan w:val="6"/>
            <w:vAlign w:val="center"/>
          </w:tcPr>
          <w:p>
            <w:pPr>
              <w:spacing w:line="0" w:lineRule="atLeast"/>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11642300MB0X807847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506"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主要职责</w:t>
            </w:r>
          </w:p>
        </w:tc>
        <w:tc>
          <w:tcPr>
            <w:tcW w:w="7194" w:type="dxa"/>
            <w:gridSpan w:val="13"/>
            <w:vAlign w:val="center"/>
          </w:tcPr>
          <w:p>
            <w:pPr>
              <w:keepNext w:val="0"/>
              <w:keepLines w:val="0"/>
              <w:pageBreakBefore w:val="0"/>
              <w:kinsoku/>
              <w:wordWrap/>
              <w:overflowPunct/>
              <w:topLinePunct w:val="0"/>
              <w:autoSpaceDE/>
              <w:autoSpaceDN/>
              <w:bidi w:val="0"/>
              <w:adjustRightInd/>
              <w:spacing w:line="200" w:lineRule="exact"/>
              <w:ind w:left="0" w:leftChars="0" w:right="0" w:rightChars="0"/>
              <w:jc w:val="both"/>
              <w:textAlignment w:val="auto"/>
              <w:outlineLvl w:val="9"/>
              <w:rPr>
                <w:rFonts w:ascii="仿宋_GB2312" w:hAnsi="仿宋_GB2312" w:eastAsia="仿宋_GB2312" w:cs="仿宋_GB2312"/>
                <w:kern w:val="0"/>
                <w:sz w:val="18"/>
                <w:szCs w:val="18"/>
              </w:rPr>
            </w:pPr>
            <w:r>
              <w:rPr>
                <w:rFonts w:ascii="仿宋_GB2312" w:hAnsi="仿宋_GB2312" w:eastAsia="仿宋_GB2312" w:cs="仿宋_GB2312"/>
                <w:kern w:val="0"/>
                <w:sz w:val="18"/>
                <w:szCs w:val="18"/>
              </w:rPr>
              <w:t>（一）贯彻实施有关法律、法规、规章和方针政策；拟订审计工作发展规划、专业领域审计工作规划、年度审计计划并组织实施；参与拟订财经方面的规范性文件。</w:t>
            </w:r>
          </w:p>
          <w:p>
            <w:pPr>
              <w:keepNext w:val="0"/>
              <w:keepLines w:val="0"/>
              <w:pageBreakBefore w:val="0"/>
              <w:kinsoku/>
              <w:wordWrap/>
              <w:overflowPunct/>
              <w:topLinePunct w:val="0"/>
              <w:autoSpaceDE/>
              <w:autoSpaceDN/>
              <w:bidi w:val="0"/>
              <w:adjustRightInd/>
              <w:spacing w:line="200" w:lineRule="exact"/>
              <w:ind w:left="0" w:leftChars="0" w:right="0" w:rightChars="0"/>
              <w:jc w:val="both"/>
              <w:textAlignment w:val="auto"/>
              <w:outlineLvl w:val="9"/>
              <w:rPr>
                <w:rFonts w:hint="default" w:ascii="仿宋_GB2312" w:hAnsi="仿宋_GB2312" w:eastAsia="仿宋_GB2312" w:cs="仿宋_GB2312"/>
                <w:kern w:val="0"/>
                <w:sz w:val="18"/>
                <w:szCs w:val="18"/>
                <w:lang w:val="en-US" w:eastAsia="zh-CN"/>
              </w:rPr>
            </w:pPr>
            <w:r>
              <w:rPr>
                <w:rFonts w:ascii="仿宋_GB2312" w:hAnsi="仿宋_GB2312" w:eastAsia="仿宋_GB2312" w:cs="仿宋_GB2312"/>
                <w:kern w:val="0"/>
                <w:sz w:val="18"/>
                <w:szCs w:val="18"/>
              </w:rPr>
              <w:t>（二）</w:t>
            </w:r>
            <w:r>
              <w:rPr>
                <w:rFonts w:hint="eastAsia" w:ascii="仿宋_GB2312" w:hAnsi="仿宋_GB2312" w:eastAsia="仿宋_GB2312" w:cs="仿宋_GB2312"/>
                <w:kern w:val="0"/>
                <w:sz w:val="18"/>
                <w:szCs w:val="18"/>
                <w:lang w:eastAsia="zh-CN"/>
              </w:rPr>
              <w:t>审计沙坡头区本级预算执行情况和其他财政收支,乡镇人民政府、区属各部门(单位)预算执行情况、决算和其他财政收支以及部门所属事业单位的财务收支</w:t>
            </w:r>
            <w:r>
              <w:rPr>
                <w:rFonts w:ascii="仿宋_GB2312" w:hAnsi="仿宋_GB2312" w:eastAsia="仿宋_GB2312" w:cs="仿宋_GB2312"/>
                <w:kern w:val="0"/>
                <w:sz w:val="18"/>
                <w:szCs w:val="18"/>
              </w:rPr>
              <w:t>。</w:t>
            </w:r>
          </w:p>
          <w:p>
            <w:pPr>
              <w:keepNext w:val="0"/>
              <w:keepLines w:val="0"/>
              <w:pageBreakBefore w:val="0"/>
              <w:kinsoku/>
              <w:wordWrap/>
              <w:overflowPunct/>
              <w:topLinePunct w:val="0"/>
              <w:autoSpaceDE/>
              <w:autoSpaceDN/>
              <w:bidi w:val="0"/>
              <w:adjustRightInd/>
              <w:spacing w:line="200" w:lineRule="exact"/>
              <w:ind w:left="0" w:leftChars="0" w:right="0" w:rightChars="0"/>
              <w:jc w:val="both"/>
              <w:textAlignment w:val="auto"/>
              <w:outlineLvl w:val="9"/>
              <w:rPr>
                <w:rFonts w:ascii="仿宋_GB2312" w:hAnsi="仿宋_GB2312" w:eastAsia="仿宋_GB2312" w:cs="仿宋_GB2312"/>
                <w:kern w:val="0"/>
                <w:sz w:val="18"/>
                <w:szCs w:val="18"/>
              </w:rPr>
            </w:pPr>
            <w:r>
              <w:rPr>
                <w:rFonts w:ascii="仿宋_GB2312" w:hAnsi="仿宋_GB2312" w:eastAsia="仿宋_GB2312" w:cs="仿宋_GB2312"/>
                <w:kern w:val="0"/>
                <w:sz w:val="18"/>
                <w:szCs w:val="18"/>
              </w:rPr>
              <w:t>（三）</w:t>
            </w:r>
            <w:r>
              <w:rPr>
                <w:rFonts w:hint="eastAsia" w:ascii="仿宋_GB2312" w:hAnsi="仿宋_GB2312" w:eastAsia="仿宋_GB2312" w:cs="仿宋_GB2312"/>
                <w:kern w:val="0"/>
                <w:sz w:val="18"/>
                <w:szCs w:val="18"/>
              </w:rPr>
              <w:t>审计政府投资和以政府投资为主的建设项目的预算执行情况和决算。</w:t>
            </w:r>
          </w:p>
          <w:p>
            <w:pPr>
              <w:keepNext w:val="0"/>
              <w:keepLines w:val="0"/>
              <w:pageBreakBefore w:val="0"/>
              <w:kinsoku/>
              <w:wordWrap/>
              <w:overflowPunct/>
              <w:topLinePunct w:val="0"/>
              <w:autoSpaceDE/>
              <w:autoSpaceDN/>
              <w:bidi w:val="0"/>
              <w:adjustRightInd/>
              <w:spacing w:line="200" w:lineRule="exact"/>
              <w:ind w:left="0" w:leftChars="0" w:right="0" w:rightChars="0"/>
              <w:jc w:val="both"/>
              <w:textAlignment w:val="auto"/>
              <w:outlineLvl w:val="9"/>
              <w:rPr>
                <w:rFonts w:ascii="仿宋_GB2312" w:hAnsi="仿宋_GB2312" w:eastAsia="仿宋_GB2312" w:cs="仿宋_GB2312"/>
                <w:kern w:val="0"/>
                <w:sz w:val="18"/>
                <w:szCs w:val="18"/>
              </w:rPr>
            </w:pPr>
            <w:r>
              <w:rPr>
                <w:rFonts w:ascii="仿宋_GB2312" w:hAnsi="仿宋_GB2312" w:eastAsia="仿宋_GB2312" w:cs="仿宋_GB2312"/>
                <w:kern w:val="0"/>
                <w:sz w:val="18"/>
                <w:szCs w:val="18"/>
              </w:rPr>
              <w:t>（四）</w:t>
            </w:r>
            <w:r>
              <w:rPr>
                <w:rFonts w:hint="eastAsia" w:ascii="仿宋_GB2312" w:hAnsi="仿宋_GB2312" w:eastAsia="仿宋_GB2312" w:cs="仿宋_GB2312"/>
                <w:kern w:val="0"/>
                <w:sz w:val="18"/>
                <w:szCs w:val="18"/>
              </w:rPr>
              <w:t>审计政府部门管理的社会保障基金、社会捐赠资金以及其他有关基金、资金的财务收支。</w:t>
            </w:r>
          </w:p>
          <w:p>
            <w:pPr>
              <w:keepNext w:val="0"/>
              <w:keepLines w:val="0"/>
              <w:pageBreakBefore w:val="0"/>
              <w:kinsoku/>
              <w:wordWrap/>
              <w:overflowPunct/>
              <w:topLinePunct w:val="0"/>
              <w:autoSpaceDE/>
              <w:autoSpaceDN/>
              <w:bidi w:val="0"/>
              <w:adjustRightInd/>
              <w:spacing w:line="200" w:lineRule="exact"/>
              <w:ind w:left="0" w:leftChars="0" w:right="0" w:rightChars="0"/>
              <w:jc w:val="both"/>
              <w:textAlignment w:val="auto"/>
              <w:outlineLvl w:val="9"/>
              <w:rPr>
                <w:rFonts w:ascii="仿宋_GB2312" w:hAnsi="仿宋_GB2312" w:eastAsia="仿宋_GB2312" w:cs="仿宋_GB2312"/>
                <w:kern w:val="0"/>
                <w:sz w:val="18"/>
                <w:szCs w:val="18"/>
              </w:rPr>
            </w:pPr>
            <w:r>
              <w:rPr>
                <w:rFonts w:ascii="仿宋_GB2312" w:hAnsi="仿宋_GB2312" w:eastAsia="仿宋_GB2312" w:cs="仿宋_GB2312"/>
                <w:kern w:val="0"/>
                <w:sz w:val="18"/>
                <w:szCs w:val="18"/>
              </w:rPr>
              <w:t>（五）</w:t>
            </w:r>
            <w:r>
              <w:rPr>
                <w:rFonts w:hint="eastAsia" w:ascii="仿宋_GB2312" w:hAnsi="仿宋_GB2312" w:eastAsia="仿宋_GB2312" w:cs="仿宋_GB2312"/>
                <w:kern w:val="0"/>
                <w:sz w:val="18"/>
                <w:szCs w:val="18"/>
              </w:rPr>
              <w:t>依法对沙坡头区管理的党政主要负责人、事业单位负责人和属于审计监督对象的其他单位主要负责人实施经济责任审计。</w:t>
            </w:r>
          </w:p>
          <w:p>
            <w:pPr>
              <w:keepNext w:val="0"/>
              <w:keepLines w:val="0"/>
              <w:pageBreakBefore w:val="0"/>
              <w:kinsoku/>
              <w:wordWrap/>
              <w:overflowPunct/>
              <w:topLinePunct w:val="0"/>
              <w:autoSpaceDE/>
              <w:autoSpaceDN/>
              <w:bidi w:val="0"/>
              <w:adjustRightInd/>
              <w:spacing w:line="200" w:lineRule="exact"/>
              <w:ind w:left="0" w:leftChars="0" w:right="0" w:rightChars="0"/>
              <w:jc w:val="both"/>
              <w:textAlignment w:val="auto"/>
              <w:outlineLvl w:val="9"/>
              <w:rPr>
                <w:rFonts w:ascii="仿宋_GB2312" w:hAnsi="仿宋_GB2312" w:eastAsia="仿宋_GB2312" w:cs="仿宋_GB2312"/>
                <w:kern w:val="0"/>
                <w:sz w:val="18"/>
                <w:szCs w:val="18"/>
              </w:rPr>
            </w:pPr>
            <w:r>
              <w:rPr>
                <w:rFonts w:ascii="仿宋_GB2312" w:hAnsi="仿宋_GB2312" w:eastAsia="仿宋_GB2312" w:cs="仿宋_GB2312"/>
                <w:kern w:val="0"/>
                <w:sz w:val="18"/>
                <w:szCs w:val="18"/>
              </w:rPr>
              <w:t>（六）</w:t>
            </w:r>
            <w:r>
              <w:rPr>
                <w:rFonts w:hint="eastAsia" w:ascii="仿宋_GB2312" w:hAnsi="仿宋_GB2312" w:eastAsia="仿宋_GB2312" w:cs="仿宋_GB2312"/>
                <w:kern w:val="0"/>
                <w:sz w:val="18"/>
                <w:szCs w:val="18"/>
              </w:rPr>
              <w:t>组织实施财政预算管理或国有资产管理使用等与国家财政收支有关的特定事项的专项审计调查。</w:t>
            </w:r>
          </w:p>
          <w:p>
            <w:pPr>
              <w:keepNext w:val="0"/>
              <w:keepLines w:val="0"/>
              <w:pageBreakBefore w:val="0"/>
              <w:kinsoku/>
              <w:wordWrap/>
              <w:overflowPunct/>
              <w:topLinePunct w:val="0"/>
              <w:autoSpaceDE/>
              <w:autoSpaceDN/>
              <w:bidi w:val="0"/>
              <w:adjustRightInd/>
              <w:spacing w:line="200" w:lineRule="exact"/>
              <w:ind w:left="0" w:leftChars="0" w:right="0" w:rightChars="0"/>
              <w:jc w:val="both"/>
              <w:textAlignment w:val="auto"/>
              <w:outlineLvl w:val="9"/>
              <w:rPr>
                <w:rFonts w:ascii="仿宋_GB2312" w:hAnsi="仿宋_GB2312" w:eastAsia="仿宋_GB2312" w:cs="仿宋_GB2312"/>
                <w:kern w:val="0"/>
                <w:sz w:val="18"/>
                <w:szCs w:val="18"/>
              </w:rPr>
            </w:pPr>
            <w:r>
              <w:rPr>
                <w:rFonts w:ascii="仿宋_GB2312" w:hAnsi="仿宋_GB2312" w:eastAsia="仿宋_GB2312" w:cs="仿宋_GB2312"/>
                <w:kern w:val="0"/>
                <w:sz w:val="18"/>
                <w:szCs w:val="18"/>
              </w:rPr>
              <w:t>（七）监督检查审计决定执行情况，督促纠正和处理审计发现的问题；负责办理审计行政复议、行政诉讼和</w:t>
            </w:r>
            <w:r>
              <w:rPr>
                <w:rFonts w:hint="eastAsia" w:ascii="仿宋_GB2312" w:hAnsi="仿宋_GB2312" w:eastAsia="仿宋_GB2312" w:cs="仿宋_GB2312"/>
                <w:kern w:val="0"/>
                <w:sz w:val="18"/>
                <w:szCs w:val="18"/>
              </w:rPr>
              <w:t>沙坡头</w:t>
            </w:r>
            <w:r>
              <w:rPr>
                <w:rFonts w:ascii="仿宋_GB2312" w:hAnsi="仿宋_GB2312" w:eastAsia="仿宋_GB2312" w:cs="仿宋_GB2312"/>
                <w:kern w:val="0"/>
                <w:sz w:val="18"/>
                <w:szCs w:val="18"/>
              </w:rPr>
              <w:t>区人民政府裁决中的有关事项。　</w:t>
            </w:r>
          </w:p>
          <w:p>
            <w:pPr>
              <w:keepNext w:val="0"/>
              <w:keepLines w:val="0"/>
              <w:pageBreakBefore w:val="0"/>
              <w:kinsoku/>
              <w:wordWrap/>
              <w:overflowPunct/>
              <w:topLinePunct w:val="0"/>
              <w:autoSpaceDE/>
              <w:autoSpaceDN/>
              <w:bidi w:val="0"/>
              <w:adjustRightInd/>
              <w:spacing w:line="200" w:lineRule="exact"/>
              <w:ind w:left="0" w:leftChars="0" w:right="0" w:rightChars="0"/>
              <w:jc w:val="both"/>
              <w:textAlignment w:val="auto"/>
              <w:outlineLvl w:val="9"/>
              <w:rPr>
                <w:rFonts w:ascii="仿宋_GB2312" w:hAnsi="仿宋_GB2312" w:eastAsia="仿宋_GB2312" w:cs="仿宋_GB2312"/>
                <w:kern w:val="0"/>
                <w:sz w:val="18"/>
                <w:szCs w:val="18"/>
              </w:rPr>
            </w:pPr>
            <w:r>
              <w:rPr>
                <w:rFonts w:ascii="仿宋_GB2312" w:hAnsi="仿宋_GB2312" w:eastAsia="仿宋_GB2312" w:cs="仿宋_GB2312"/>
                <w:kern w:val="0"/>
                <w:sz w:val="18"/>
                <w:szCs w:val="18"/>
              </w:rPr>
              <w:t>（</w:t>
            </w:r>
            <w:r>
              <w:rPr>
                <w:rFonts w:hint="eastAsia" w:ascii="仿宋_GB2312" w:hAnsi="仿宋_GB2312" w:eastAsia="仿宋_GB2312" w:cs="仿宋_GB2312"/>
                <w:kern w:val="0"/>
                <w:sz w:val="18"/>
                <w:szCs w:val="18"/>
                <w:lang w:eastAsia="zh-CN"/>
              </w:rPr>
              <w:t>八</w:t>
            </w:r>
            <w:r>
              <w:rPr>
                <w:rFonts w:ascii="仿宋_GB2312" w:hAnsi="仿宋_GB2312" w:eastAsia="仿宋_GB2312" w:cs="仿宋_GB2312"/>
                <w:kern w:val="0"/>
                <w:sz w:val="18"/>
                <w:szCs w:val="18"/>
              </w:rPr>
              <w:t>）指导、监督内部审计、社会审计工作。</w:t>
            </w:r>
          </w:p>
          <w:p>
            <w:pPr>
              <w:keepNext w:val="0"/>
              <w:keepLines w:val="0"/>
              <w:pageBreakBefore w:val="0"/>
              <w:kinsoku/>
              <w:wordWrap/>
              <w:overflowPunct/>
              <w:topLinePunct w:val="0"/>
              <w:autoSpaceDE/>
              <w:autoSpaceDN/>
              <w:bidi w:val="0"/>
              <w:adjustRightInd/>
              <w:spacing w:line="200" w:lineRule="exact"/>
              <w:ind w:left="0" w:leftChars="0" w:right="0" w:rightChars="0"/>
              <w:jc w:val="both"/>
              <w:textAlignment w:val="auto"/>
              <w:outlineLvl w:val="9"/>
              <w:rPr>
                <w:rFonts w:ascii="仿宋_GB2312" w:hAnsi="仿宋_GB2312" w:eastAsia="仿宋_GB2312" w:cs="仿宋_GB2312"/>
                <w:kern w:val="0"/>
                <w:sz w:val="18"/>
                <w:szCs w:val="18"/>
              </w:rPr>
            </w:pPr>
            <w:r>
              <w:rPr>
                <w:rFonts w:ascii="仿宋_GB2312" w:hAnsi="仿宋_GB2312" w:eastAsia="仿宋_GB2312" w:cs="仿宋_GB2312"/>
                <w:kern w:val="0"/>
                <w:sz w:val="18"/>
                <w:szCs w:val="18"/>
              </w:rPr>
              <w:t>（</w:t>
            </w:r>
            <w:r>
              <w:rPr>
                <w:rFonts w:hint="eastAsia" w:ascii="仿宋_GB2312" w:hAnsi="仿宋_GB2312" w:eastAsia="仿宋_GB2312" w:cs="仿宋_GB2312"/>
                <w:kern w:val="0"/>
                <w:sz w:val="18"/>
                <w:szCs w:val="18"/>
                <w:lang w:eastAsia="zh-CN"/>
              </w:rPr>
              <w:t>九</w:t>
            </w:r>
            <w:r>
              <w:rPr>
                <w:rFonts w:ascii="仿宋_GB2312" w:hAnsi="仿宋_GB2312" w:eastAsia="仿宋_GB2312" w:cs="仿宋_GB2312"/>
                <w:kern w:val="0"/>
                <w:sz w:val="18"/>
                <w:szCs w:val="18"/>
              </w:rPr>
              <w:t>）承办</w:t>
            </w:r>
            <w:r>
              <w:rPr>
                <w:rFonts w:hint="eastAsia" w:ascii="仿宋_GB2312" w:hAnsi="仿宋_GB2312" w:eastAsia="仿宋_GB2312" w:cs="仿宋_GB2312"/>
                <w:kern w:val="0"/>
                <w:sz w:val="18"/>
                <w:szCs w:val="18"/>
              </w:rPr>
              <w:t>沙坡头</w:t>
            </w:r>
            <w:r>
              <w:rPr>
                <w:rFonts w:ascii="仿宋_GB2312" w:hAnsi="仿宋_GB2312" w:eastAsia="仿宋_GB2312" w:cs="仿宋_GB2312"/>
                <w:kern w:val="0"/>
                <w:sz w:val="18"/>
                <w:szCs w:val="18"/>
              </w:rPr>
              <w:t>区人民政府交办的其他事项。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506" w:type="dxa"/>
            <w:vMerge w:val="restart"/>
            <w:tcBorders>
              <w:right w:val="single" w:color="auto" w:sz="4" w:space="0"/>
            </w:tcBorders>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内设机构</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情况</w:t>
            </w:r>
          </w:p>
        </w:tc>
        <w:tc>
          <w:tcPr>
            <w:tcW w:w="1434" w:type="dxa"/>
            <w:gridSpan w:val="2"/>
            <w:tcBorders>
              <w:left w:val="single" w:color="auto" w:sz="4" w:space="0"/>
            </w:tcBorders>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机构</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名称</w:t>
            </w:r>
          </w:p>
        </w:tc>
        <w:tc>
          <w:tcPr>
            <w:tcW w:w="3626" w:type="dxa"/>
            <w:gridSpan w:val="7"/>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主要职责</w:t>
            </w:r>
          </w:p>
        </w:tc>
        <w:tc>
          <w:tcPr>
            <w:tcW w:w="1005"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机构负责人</w:t>
            </w:r>
          </w:p>
        </w:tc>
        <w:tc>
          <w:tcPr>
            <w:tcW w:w="1129"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06" w:type="dxa"/>
            <w:vMerge w:val="continue"/>
            <w:tcBorders>
              <w:right w:val="single" w:color="auto" w:sz="4" w:space="0"/>
            </w:tcBorders>
            <w:vAlign w:val="center"/>
          </w:tcPr>
          <w:p>
            <w:pPr>
              <w:spacing w:line="0" w:lineRule="atLeast"/>
              <w:jc w:val="center"/>
              <w:rPr>
                <w:rFonts w:ascii="仿宋_GB2312" w:hAnsi="仿宋_GB2312" w:eastAsia="仿宋_GB2312" w:cs="仿宋_GB2312"/>
                <w:kern w:val="0"/>
                <w:sz w:val="20"/>
                <w:szCs w:val="21"/>
              </w:rPr>
            </w:pPr>
          </w:p>
        </w:tc>
        <w:tc>
          <w:tcPr>
            <w:tcW w:w="1434" w:type="dxa"/>
            <w:gridSpan w:val="2"/>
            <w:tcBorders>
              <w:left w:val="single" w:color="auto" w:sz="4" w:space="0"/>
            </w:tcBorders>
            <w:vAlign w:val="center"/>
          </w:tcPr>
          <w:p>
            <w:pPr>
              <w:spacing w:line="300" w:lineRule="exact"/>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sz w:val="18"/>
                <w:szCs w:val="18"/>
              </w:rPr>
              <w:t>综合办公室</w:t>
            </w:r>
          </w:p>
        </w:tc>
        <w:tc>
          <w:tcPr>
            <w:tcW w:w="3626" w:type="dxa"/>
            <w:gridSpan w:val="7"/>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具体负责组织人事、机关党建、党风廉政、精神文明、意识形态、平安建设、信息宣传、爱国卫生、文电、财务、保密、机要、信访、工会、团委、妇联、行政档案管理及审计委员会办公室日常文电等工作；承办局党组、局领导交办的其他事项。</w:t>
            </w:r>
          </w:p>
        </w:tc>
        <w:tc>
          <w:tcPr>
            <w:tcW w:w="1005" w:type="dxa"/>
            <w:gridSpan w:val="2"/>
            <w:vAlign w:val="center"/>
          </w:tcPr>
          <w:p>
            <w:pPr>
              <w:spacing w:line="0" w:lineRule="atLeast"/>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路</w:t>
            </w:r>
            <w:r>
              <w:rPr>
                <w:rFonts w:hint="eastAsia" w:ascii="仿宋_GB2312" w:hAnsi="仿宋_GB2312" w:eastAsia="仿宋_GB2312" w:cs="仿宋_GB2312"/>
                <w:kern w:val="0"/>
                <w:sz w:val="18"/>
                <w:szCs w:val="18"/>
                <w:lang w:val="en-US" w:eastAsia="zh-CN"/>
              </w:rPr>
              <w:t xml:space="preserve"> </w:t>
            </w:r>
            <w:r>
              <w:rPr>
                <w:rFonts w:hint="eastAsia" w:ascii="仿宋_GB2312" w:hAnsi="仿宋_GB2312" w:eastAsia="仿宋_GB2312" w:cs="仿宋_GB2312"/>
                <w:kern w:val="0"/>
                <w:sz w:val="18"/>
                <w:szCs w:val="18"/>
                <w:lang w:eastAsia="zh-CN"/>
              </w:rPr>
              <w:t>洁</w:t>
            </w:r>
          </w:p>
        </w:tc>
        <w:tc>
          <w:tcPr>
            <w:tcW w:w="1129" w:type="dxa"/>
            <w:gridSpan w:val="2"/>
            <w:vAlign w:val="center"/>
          </w:tcPr>
          <w:p>
            <w:pPr>
              <w:spacing w:line="0" w:lineRule="atLeast"/>
              <w:jc w:val="center"/>
              <w:rPr>
                <w:rFonts w:hint="default" w:ascii="仿宋_GB2312" w:hAnsi="仿宋_GB2312" w:eastAsia="仿宋_GB2312" w:cs="仿宋_GB2312"/>
                <w:kern w:val="0"/>
                <w:sz w:val="18"/>
                <w:szCs w:val="18"/>
                <w:lang w:val="en-US" w:eastAsia="zh-CN"/>
              </w:rPr>
            </w:pPr>
            <w:bookmarkStart w:id="0" w:name="_GoBack"/>
            <w:bookmarkEnd w:id="0"/>
            <w:r>
              <w:rPr>
                <w:rFonts w:hint="eastAsia" w:ascii="仿宋_GB2312" w:hAnsi="仿宋_GB2312" w:eastAsia="仿宋_GB2312" w:cs="仿宋_GB2312"/>
                <w:kern w:val="0"/>
                <w:sz w:val="18"/>
                <w:szCs w:val="18"/>
                <w:lang w:val="en-US" w:eastAsia="zh-CN"/>
              </w:rPr>
              <w:t>7616393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506" w:type="dxa"/>
            <w:vMerge w:val="continue"/>
            <w:tcBorders>
              <w:right w:val="single" w:color="auto" w:sz="4" w:space="0"/>
            </w:tcBorders>
            <w:vAlign w:val="center"/>
          </w:tcPr>
          <w:p>
            <w:pPr>
              <w:spacing w:line="0" w:lineRule="atLeast"/>
              <w:rPr>
                <w:rFonts w:ascii="仿宋_GB2312" w:hAnsi="仿宋_GB2312" w:eastAsia="仿宋_GB2312" w:cs="仿宋_GB2312"/>
                <w:kern w:val="0"/>
                <w:sz w:val="20"/>
                <w:szCs w:val="21"/>
              </w:rPr>
            </w:pPr>
          </w:p>
        </w:tc>
        <w:tc>
          <w:tcPr>
            <w:tcW w:w="1434" w:type="dxa"/>
            <w:gridSpan w:val="2"/>
            <w:vAlign w:val="center"/>
          </w:tcPr>
          <w:p>
            <w:pPr>
              <w:spacing w:line="3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政策法规办公室</w:t>
            </w:r>
          </w:p>
          <w:p>
            <w:pPr>
              <w:spacing w:line="300" w:lineRule="exact"/>
              <w:jc w:val="center"/>
              <w:rPr>
                <w:rFonts w:hint="eastAsia" w:ascii="仿宋_GB2312" w:hAnsi="仿宋_GB2312" w:eastAsia="仿宋_GB2312" w:cs="仿宋_GB2312"/>
                <w:kern w:val="0"/>
                <w:sz w:val="18"/>
                <w:szCs w:val="18"/>
                <w:lang w:val="en-US" w:eastAsia="zh-CN"/>
              </w:rPr>
            </w:pPr>
          </w:p>
        </w:tc>
        <w:tc>
          <w:tcPr>
            <w:tcW w:w="3626" w:type="dxa"/>
            <w:gridSpan w:val="7"/>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sz w:val="18"/>
                <w:szCs w:val="18"/>
              </w:rPr>
              <w:t>负责审计业务制度的起草和审计项目计划管理；审理有关审计业务事项；负责本局审计法制工作，检查法规执行情况，办理审计行政复议和应诉；组织实施机关复核审计报告、审计意见书和审计决定书等。普法依法治理、依法行政、行政执法、审计档案管理、业务统计、行政裁决、复议、应诉等工作；实施审计项目计划指定的审计项目，核查社会审计机构出具的相关审计报告；承担指导和监督沙坡头区直属部门、乡镇内部审计工作；承办审计局交办的其他事项。</w:t>
            </w:r>
          </w:p>
        </w:tc>
        <w:tc>
          <w:tcPr>
            <w:tcW w:w="1005" w:type="dxa"/>
            <w:gridSpan w:val="2"/>
            <w:vAlign w:val="center"/>
          </w:tcPr>
          <w:p>
            <w:pPr>
              <w:spacing w:line="0" w:lineRule="atLeast"/>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eastAsia="zh-CN"/>
              </w:rPr>
              <w:t>董斌</w:t>
            </w:r>
          </w:p>
        </w:tc>
        <w:tc>
          <w:tcPr>
            <w:tcW w:w="1129" w:type="dxa"/>
            <w:gridSpan w:val="2"/>
            <w:vAlign w:val="center"/>
          </w:tcPr>
          <w:p>
            <w:pPr>
              <w:spacing w:line="0" w:lineRule="atLeast"/>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7620718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506" w:type="dxa"/>
            <w:vMerge w:val="continue"/>
            <w:tcBorders>
              <w:right w:val="single" w:color="auto" w:sz="4" w:space="0"/>
            </w:tcBorders>
            <w:vAlign w:val="center"/>
          </w:tcPr>
          <w:p>
            <w:pPr>
              <w:spacing w:line="0" w:lineRule="atLeast"/>
              <w:rPr>
                <w:rFonts w:ascii="仿宋_GB2312" w:hAnsi="仿宋_GB2312" w:eastAsia="仿宋_GB2312" w:cs="仿宋_GB2312"/>
                <w:kern w:val="0"/>
                <w:sz w:val="20"/>
                <w:szCs w:val="21"/>
              </w:rPr>
            </w:pPr>
          </w:p>
        </w:tc>
        <w:tc>
          <w:tcPr>
            <w:tcW w:w="1434" w:type="dxa"/>
            <w:gridSpan w:val="2"/>
            <w:vAlign w:val="center"/>
          </w:tcPr>
          <w:p>
            <w:pPr>
              <w:spacing w:line="300" w:lineRule="exact"/>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sz w:val="18"/>
                <w:szCs w:val="18"/>
              </w:rPr>
              <w:t>经济责任审计办公室</w:t>
            </w:r>
          </w:p>
        </w:tc>
        <w:tc>
          <w:tcPr>
            <w:tcW w:w="3626" w:type="dxa"/>
            <w:gridSpan w:val="7"/>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根据上级及沙坡头区有关规定，负责沙坡头区党、政、群和事业单位主要领导干部任期经济责任审计工作；研究、提出有关加强或改进经济责任审计工作的建议、意见等。负责沙坡头区直属党政工作部门、事业单位和人民团体等单位党政主要领导干部和国有企业领导人员经济责任审计；负责本级经济责任审计工作联席会议的日常工作；实施审计项目计划指定的审计项目，核查社会审计机构出具的相关审计报告；承办审计局交办的其他事项。</w:t>
            </w:r>
          </w:p>
        </w:tc>
        <w:tc>
          <w:tcPr>
            <w:tcW w:w="1005" w:type="dxa"/>
            <w:gridSpan w:val="2"/>
            <w:vAlign w:val="center"/>
          </w:tcPr>
          <w:p>
            <w:pPr>
              <w:spacing w:line="0" w:lineRule="atLeast"/>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eastAsia="zh-CN"/>
              </w:rPr>
              <w:t>董斌</w:t>
            </w:r>
          </w:p>
        </w:tc>
        <w:tc>
          <w:tcPr>
            <w:tcW w:w="1129" w:type="dxa"/>
            <w:gridSpan w:val="2"/>
            <w:vAlign w:val="center"/>
          </w:tcPr>
          <w:p>
            <w:pPr>
              <w:spacing w:line="0" w:lineRule="atLeast"/>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7620718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06" w:type="dxa"/>
            <w:vMerge w:val="continue"/>
            <w:tcBorders>
              <w:right w:val="single" w:color="auto" w:sz="4" w:space="0"/>
            </w:tcBorders>
            <w:vAlign w:val="center"/>
          </w:tcPr>
          <w:p>
            <w:pPr>
              <w:spacing w:line="0" w:lineRule="atLeast"/>
              <w:rPr>
                <w:rFonts w:ascii="仿宋_GB2312" w:hAnsi="仿宋_GB2312" w:eastAsia="仿宋_GB2312" w:cs="仿宋_GB2312"/>
                <w:kern w:val="0"/>
                <w:sz w:val="20"/>
                <w:szCs w:val="21"/>
              </w:rPr>
            </w:pPr>
          </w:p>
        </w:tc>
        <w:tc>
          <w:tcPr>
            <w:tcW w:w="1434" w:type="dxa"/>
            <w:gridSpan w:val="2"/>
            <w:vAlign w:val="center"/>
          </w:tcPr>
          <w:p>
            <w:pPr>
              <w:spacing w:line="300" w:lineRule="exact"/>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sz w:val="18"/>
                <w:szCs w:val="18"/>
              </w:rPr>
              <w:t>财政企业审计办公室</w:t>
            </w:r>
          </w:p>
        </w:tc>
        <w:tc>
          <w:tcPr>
            <w:tcW w:w="3626" w:type="dxa"/>
            <w:gridSpan w:val="7"/>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sz w:val="18"/>
                <w:szCs w:val="18"/>
              </w:rPr>
              <w:t>负责沙坡头区本级财政预算执行情况和区直部门、乡镇财政预算执行情况和决算审计；负责地方国有企业、国有资本占控股或主导地位企业的资产、负债和损益情况审计；负责财政专项资金和政府管理的社会保障基金、社会捐赠资金、住房保障、资源能源和生态环境保护等资金、基金审计与调查；实施审计项目计划指定的审计项目，核查社会审计机构出具的相关审计报告；承办审计局交办的其他事项。</w:t>
            </w:r>
          </w:p>
        </w:tc>
        <w:tc>
          <w:tcPr>
            <w:tcW w:w="1005" w:type="dxa"/>
            <w:gridSpan w:val="2"/>
            <w:vAlign w:val="center"/>
          </w:tcPr>
          <w:p>
            <w:pPr>
              <w:spacing w:line="0" w:lineRule="atLeast"/>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沈媛</w:t>
            </w:r>
          </w:p>
        </w:tc>
        <w:tc>
          <w:tcPr>
            <w:tcW w:w="1129" w:type="dxa"/>
            <w:gridSpan w:val="2"/>
            <w:vAlign w:val="center"/>
          </w:tcPr>
          <w:p>
            <w:pPr>
              <w:spacing w:line="0" w:lineRule="atLeast"/>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8806351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jc w:val="center"/>
        </w:trPr>
        <w:tc>
          <w:tcPr>
            <w:tcW w:w="1506" w:type="dxa"/>
            <w:vMerge w:val="continue"/>
            <w:tcBorders>
              <w:right w:val="single" w:color="auto" w:sz="4" w:space="0"/>
            </w:tcBorders>
            <w:vAlign w:val="center"/>
          </w:tcPr>
          <w:p>
            <w:pPr>
              <w:spacing w:line="0" w:lineRule="atLeast"/>
              <w:rPr>
                <w:rFonts w:ascii="仿宋_GB2312" w:hAnsi="仿宋_GB2312" w:eastAsia="仿宋_GB2312" w:cs="仿宋_GB2312"/>
                <w:kern w:val="0"/>
                <w:sz w:val="20"/>
                <w:szCs w:val="21"/>
              </w:rPr>
            </w:pPr>
          </w:p>
        </w:tc>
        <w:tc>
          <w:tcPr>
            <w:tcW w:w="1434" w:type="dxa"/>
            <w:gridSpan w:val="2"/>
            <w:vAlign w:val="center"/>
          </w:tcPr>
          <w:p>
            <w:pPr>
              <w:spacing w:line="300" w:lineRule="exact"/>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sz w:val="18"/>
                <w:szCs w:val="18"/>
              </w:rPr>
              <w:t>固定资产投资审计办公室</w:t>
            </w:r>
          </w:p>
        </w:tc>
        <w:tc>
          <w:tcPr>
            <w:tcW w:w="3626" w:type="dxa"/>
            <w:gridSpan w:val="7"/>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sz w:val="18"/>
                <w:szCs w:val="18"/>
              </w:rPr>
              <w:t>负责审计沙坡头区政府投资和以区政府投资为主的建设项目的预（概）算执行情况、决算及财务收支；负责审计沙坡头区直属国有及国有控股施工企业、房地产开发企业和设计、监理单位；开展相关专项审计调查；实施审计项目计划指定的审计项目，核查社会审计机构出具的相关审计报告；承办审计局交办的其他事项。</w:t>
            </w:r>
          </w:p>
        </w:tc>
        <w:tc>
          <w:tcPr>
            <w:tcW w:w="1005" w:type="dxa"/>
            <w:gridSpan w:val="2"/>
            <w:vAlign w:val="center"/>
          </w:tcPr>
          <w:p>
            <w:pPr>
              <w:spacing w:line="0" w:lineRule="atLeast"/>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马斌</w:t>
            </w:r>
          </w:p>
        </w:tc>
        <w:tc>
          <w:tcPr>
            <w:tcW w:w="1129" w:type="dxa"/>
            <w:gridSpan w:val="2"/>
            <w:vAlign w:val="center"/>
          </w:tcPr>
          <w:p>
            <w:pPr>
              <w:spacing w:line="0" w:lineRule="atLeast"/>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8812030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506"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主要承担法制业务的科室</w:t>
            </w:r>
          </w:p>
        </w:tc>
        <w:tc>
          <w:tcPr>
            <w:tcW w:w="7194" w:type="dxa"/>
            <w:gridSpan w:val="13"/>
            <w:vAlign w:val="center"/>
          </w:tcPr>
          <w:p>
            <w:pPr>
              <w:spacing w:line="300" w:lineRule="exac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sz w:val="18"/>
                <w:szCs w:val="18"/>
              </w:rPr>
              <w:t>政策法规办公室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06" w:type="dxa"/>
            <w:vMerge w:val="restart"/>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执法</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类型</w:t>
            </w:r>
          </w:p>
        </w:tc>
        <w:tc>
          <w:tcPr>
            <w:tcW w:w="1014"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许可</w:t>
            </w:r>
          </w:p>
        </w:tc>
        <w:tc>
          <w:tcPr>
            <w:tcW w:w="510" w:type="dxa"/>
            <w:gridSpan w:val="2"/>
            <w:vAlign w:val="center"/>
          </w:tcPr>
          <w:p>
            <w:pPr>
              <w:spacing w:line="0" w:lineRule="atLeast"/>
              <w:jc w:val="center"/>
              <w:rPr>
                <w:rFonts w:ascii="仿宋_GB2312" w:hAnsi="仿宋_GB2312" w:eastAsia="仿宋_GB2312" w:cs="仿宋_GB2312"/>
                <w:kern w:val="0"/>
                <w:sz w:val="20"/>
                <w:szCs w:val="21"/>
              </w:rPr>
            </w:pPr>
          </w:p>
        </w:tc>
        <w:tc>
          <w:tcPr>
            <w:tcW w:w="645"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行政裁决</w:t>
            </w:r>
          </w:p>
        </w:tc>
        <w:tc>
          <w:tcPr>
            <w:tcW w:w="675" w:type="dxa"/>
            <w:vAlign w:val="center"/>
          </w:tcPr>
          <w:p>
            <w:pPr>
              <w:spacing w:line="0" w:lineRule="atLeast"/>
              <w:jc w:val="center"/>
              <w:rPr>
                <w:rFonts w:ascii="仿宋_GB2312" w:hAnsi="仿宋_GB2312" w:eastAsia="仿宋_GB2312" w:cs="仿宋_GB2312"/>
                <w:kern w:val="0"/>
                <w:sz w:val="20"/>
                <w:szCs w:val="21"/>
              </w:rPr>
            </w:pPr>
          </w:p>
        </w:tc>
        <w:tc>
          <w:tcPr>
            <w:tcW w:w="75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收费</w:t>
            </w:r>
          </w:p>
        </w:tc>
        <w:tc>
          <w:tcPr>
            <w:tcW w:w="660" w:type="dxa"/>
            <w:vAlign w:val="center"/>
          </w:tcPr>
          <w:p>
            <w:pPr>
              <w:spacing w:line="0" w:lineRule="atLeast"/>
              <w:jc w:val="center"/>
              <w:rPr>
                <w:rFonts w:ascii="仿宋_GB2312" w:hAnsi="仿宋_GB2312" w:eastAsia="仿宋_GB2312" w:cs="仿宋_GB2312"/>
                <w:kern w:val="0"/>
                <w:sz w:val="20"/>
                <w:szCs w:val="21"/>
              </w:rPr>
            </w:pPr>
          </w:p>
        </w:tc>
        <w:tc>
          <w:tcPr>
            <w:tcW w:w="75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征收</w:t>
            </w:r>
          </w:p>
        </w:tc>
        <w:tc>
          <w:tcPr>
            <w:tcW w:w="645" w:type="dxa"/>
            <w:gridSpan w:val="2"/>
            <w:vAlign w:val="center"/>
          </w:tcPr>
          <w:p>
            <w:pPr>
              <w:spacing w:line="0" w:lineRule="atLeast"/>
              <w:jc w:val="center"/>
              <w:rPr>
                <w:rFonts w:ascii="仿宋_GB2312" w:hAnsi="仿宋_GB2312" w:eastAsia="仿宋_GB2312" w:cs="仿宋_GB2312"/>
                <w:kern w:val="0"/>
                <w:sz w:val="20"/>
                <w:szCs w:val="21"/>
              </w:rPr>
            </w:pPr>
          </w:p>
        </w:tc>
        <w:tc>
          <w:tcPr>
            <w:tcW w:w="978"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确认</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（登记）</w:t>
            </w:r>
          </w:p>
        </w:tc>
        <w:tc>
          <w:tcPr>
            <w:tcW w:w="567" w:type="dxa"/>
            <w:vAlign w:val="center"/>
          </w:tcPr>
          <w:p>
            <w:pPr>
              <w:spacing w:line="0" w:lineRule="atLeas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6" w:type="dxa"/>
            <w:vMerge w:val="continue"/>
            <w:vAlign w:val="center"/>
          </w:tcPr>
          <w:p>
            <w:pPr>
              <w:spacing w:line="0" w:lineRule="atLeast"/>
              <w:rPr>
                <w:rFonts w:ascii="仿宋_GB2312" w:hAnsi="仿宋_GB2312" w:eastAsia="仿宋_GB2312" w:cs="仿宋_GB2312"/>
                <w:kern w:val="0"/>
                <w:sz w:val="20"/>
                <w:szCs w:val="21"/>
              </w:rPr>
            </w:pPr>
          </w:p>
        </w:tc>
        <w:tc>
          <w:tcPr>
            <w:tcW w:w="1014"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强制</w:t>
            </w:r>
          </w:p>
        </w:tc>
        <w:tc>
          <w:tcPr>
            <w:tcW w:w="510" w:type="dxa"/>
            <w:gridSpan w:val="2"/>
            <w:vAlign w:val="center"/>
          </w:tcPr>
          <w:p>
            <w:pPr>
              <w:spacing w:line="0" w:lineRule="atLeast"/>
              <w:jc w:val="center"/>
              <w:rPr>
                <w:rFonts w:ascii="仿宋_GB2312" w:hAnsi="仿宋_GB2312" w:eastAsia="仿宋_GB2312" w:cs="仿宋_GB2312"/>
                <w:kern w:val="0"/>
                <w:sz w:val="20"/>
                <w:szCs w:val="21"/>
              </w:rPr>
            </w:pPr>
          </w:p>
        </w:tc>
        <w:tc>
          <w:tcPr>
            <w:tcW w:w="645"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行政检查</w:t>
            </w:r>
          </w:p>
        </w:tc>
        <w:tc>
          <w:tcPr>
            <w:tcW w:w="675" w:type="dxa"/>
            <w:vAlign w:val="center"/>
          </w:tcPr>
          <w:p>
            <w:pPr>
              <w:spacing w:line="0" w:lineRule="atLeast"/>
              <w:jc w:val="center"/>
              <w:rPr>
                <w:rFonts w:ascii="仿宋_GB2312" w:hAnsi="仿宋_GB2312" w:eastAsia="仿宋_GB2312" w:cs="仿宋_GB2312"/>
                <w:kern w:val="0"/>
                <w:sz w:val="20"/>
                <w:szCs w:val="21"/>
              </w:rPr>
            </w:pPr>
            <w:r>
              <w:rPr>
                <w:rFonts w:hint="eastAsia" w:ascii="微软雅黑" w:hAnsi="微软雅黑" w:eastAsia="微软雅黑" w:cs="微软雅黑"/>
                <w:kern w:val="0"/>
                <w:sz w:val="20"/>
                <w:szCs w:val="21"/>
              </w:rPr>
              <w:t>√</w:t>
            </w:r>
          </w:p>
        </w:tc>
        <w:tc>
          <w:tcPr>
            <w:tcW w:w="75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处罚</w:t>
            </w:r>
          </w:p>
        </w:tc>
        <w:tc>
          <w:tcPr>
            <w:tcW w:w="660" w:type="dxa"/>
            <w:vAlign w:val="center"/>
          </w:tcPr>
          <w:p>
            <w:pPr>
              <w:spacing w:line="0" w:lineRule="atLeast"/>
              <w:jc w:val="center"/>
              <w:rPr>
                <w:rFonts w:ascii="仿宋_GB2312" w:hAnsi="仿宋_GB2312" w:eastAsia="仿宋_GB2312" w:cs="仿宋_GB2312"/>
                <w:kern w:val="0"/>
                <w:sz w:val="20"/>
                <w:szCs w:val="21"/>
              </w:rPr>
            </w:pPr>
          </w:p>
        </w:tc>
        <w:tc>
          <w:tcPr>
            <w:tcW w:w="75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给付</w:t>
            </w:r>
          </w:p>
        </w:tc>
        <w:tc>
          <w:tcPr>
            <w:tcW w:w="645" w:type="dxa"/>
            <w:gridSpan w:val="2"/>
            <w:vAlign w:val="center"/>
          </w:tcPr>
          <w:p>
            <w:pPr>
              <w:spacing w:line="0" w:lineRule="atLeast"/>
              <w:jc w:val="center"/>
              <w:rPr>
                <w:rFonts w:ascii="仿宋_GB2312" w:hAnsi="仿宋_GB2312" w:eastAsia="仿宋_GB2312" w:cs="仿宋_GB2312"/>
                <w:kern w:val="0"/>
                <w:sz w:val="20"/>
                <w:szCs w:val="21"/>
              </w:rPr>
            </w:pPr>
          </w:p>
        </w:tc>
        <w:tc>
          <w:tcPr>
            <w:tcW w:w="978"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其他</w:t>
            </w:r>
          </w:p>
        </w:tc>
        <w:tc>
          <w:tcPr>
            <w:tcW w:w="567" w:type="dxa"/>
            <w:vAlign w:val="center"/>
          </w:tcPr>
          <w:p>
            <w:pPr>
              <w:spacing w:line="0" w:lineRule="atLeas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1506"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执法</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依据（法律法规、地方性法规、政府规章、规范性文件）</w:t>
            </w:r>
          </w:p>
        </w:tc>
        <w:tc>
          <w:tcPr>
            <w:tcW w:w="7194" w:type="dxa"/>
            <w:gridSpan w:val="13"/>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《中华人民共和国审计法》《中华人民共和国审计法实施条例》《审计机关监督社会审计组织审计业务质量的暂行规定》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18"/>
                <w:szCs w:val="18"/>
                <w:lang w:val="en-US" w:eastAsia="zh-CN"/>
              </w:rPr>
            </w:pPr>
          </w:p>
          <w:p>
            <w:pPr>
              <w:pStyle w:val="3"/>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1506"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监督机构及电话</w:t>
            </w:r>
          </w:p>
        </w:tc>
        <w:tc>
          <w:tcPr>
            <w:tcW w:w="7194" w:type="dxa"/>
            <w:gridSpan w:val="13"/>
            <w:vAlign w:val="center"/>
          </w:tcPr>
          <w:p>
            <w:pPr>
              <w:spacing w:line="0" w:lineRule="atLeast"/>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sz w:val="18"/>
                <w:szCs w:val="18"/>
              </w:rPr>
              <w:t>综合办公室</w:t>
            </w:r>
            <w:r>
              <w:rPr>
                <w:rFonts w:hint="eastAsia" w:ascii="仿宋_GB2312" w:hAnsi="仿宋_GB2312" w:eastAsia="仿宋_GB2312" w:cs="仿宋_GB2312"/>
                <w:kern w:val="0"/>
                <w:sz w:val="20"/>
                <w:szCs w:val="21"/>
                <w:lang w:val="en-US" w:eastAsia="zh-CN"/>
              </w:rPr>
              <w:t xml:space="preserve">  7616393</w:t>
            </w:r>
          </w:p>
        </w:tc>
      </w:tr>
    </w:tbl>
    <w:p>
      <w:pPr>
        <w:spacing w:line="560" w:lineRule="exact"/>
        <w:sectPr>
          <w:footerReference r:id="rId3" w:type="default"/>
          <w:pgSz w:w="11906" w:h="16838"/>
          <w:pgMar w:top="1985" w:right="1474" w:bottom="1758" w:left="1588" w:header="851" w:footer="992" w:gutter="0"/>
          <w:cols w:space="425" w:num="1"/>
          <w:docGrid w:type="lines" w:linePitch="312" w:charSpace="0"/>
        </w:sectPr>
      </w:pPr>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536001"/>
    </w:sdtPr>
    <w:sdtContent>
      <w:p>
        <w:pPr>
          <w:pStyle w:val="2"/>
          <w:jc w:val="center"/>
        </w:pPr>
        <w:r>
          <w:fldChar w:fldCharType="begin"/>
        </w:r>
        <w:r>
          <w:instrText xml:space="preserve"> PAGE   \* MERGEFORMAT </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B744D"/>
    <w:rsid w:val="0160049A"/>
    <w:rsid w:val="0201686D"/>
    <w:rsid w:val="061C2F0C"/>
    <w:rsid w:val="06765348"/>
    <w:rsid w:val="0C1831C0"/>
    <w:rsid w:val="0D9C19F0"/>
    <w:rsid w:val="0E5F56E6"/>
    <w:rsid w:val="144E4B4A"/>
    <w:rsid w:val="158B744D"/>
    <w:rsid w:val="1FAC2B21"/>
    <w:rsid w:val="25A919E0"/>
    <w:rsid w:val="2A9E6CE6"/>
    <w:rsid w:val="2D043A05"/>
    <w:rsid w:val="2E2342C5"/>
    <w:rsid w:val="33A92A44"/>
    <w:rsid w:val="345D3D37"/>
    <w:rsid w:val="37F7077C"/>
    <w:rsid w:val="383D088C"/>
    <w:rsid w:val="38B87DBC"/>
    <w:rsid w:val="399E0A29"/>
    <w:rsid w:val="48D908BF"/>
    <w:rsid w:val="4FDE1A69"/>
    <w:rsid w:val="5128218C"/>
    <w:rsid w:val="547B399B"/>
    <w:rsid w:val="54D0032A"/>
    <w:rsid w:val="550A1EB8"/>
    <w:rsid w:val="57DD4CFA"/>
    <w:rsid w:val="58F1A217"/>
    <w:rsid w:val="5A1050CB"/>
    <w:rsid w:val="5A5D3CC4"/>
    <w:rsid w:val="5A6E347B"/>
    <w:rsid w:val="623C746A"/>
    <w:rsid w:val="62EF615A"/>
    <w:rsid w:val="631C3BD0"/>
    <w:rsid w:val="65555DF2"/>
    <w:rsid w:val="65706ACF"/>
    <w:rsid w:val="670E39C9"/>
    <w:rsid w:val="6CBF1A0B"/>
    <w:rsid w:val="7114730C"/>
    <w:rsid w:val="727B5C14"/>
    <w:rsid w:val="768E083D"/>
    <w:rsid w:val="77B53DAD"/>
    <w:rsid w:val="78566B0F"/>
    <w:rsid w:val="78C57045"/>
    <w:rsid w:val="790E2F1C"/>
    <w:rsid w:val="797F15C6"/>
    <w:rsid w:val="7EEC3E2F"/>
    <w:rsid w:val="FD7FCD2B"/>
    <w:rsid w:val="FDFFB7A8"/>
    <w:rsid w:val="FEF38C69"/>
    <w:rsid w:val="FFFC625A"/>
    <w:rsid w:val="FFFFBA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jc w:val="left"/>
    </w:pPr>
    <w:rPr>
      <w:rFonts w:ascii="宋体" w:hAnsi="宋体" w:cs="宋体"/>
      <w:kern w:val="0"/>
      <w:sz w:val="24"/>
    </w:rPr>
  </w:style>
  <w:style w:type="table" w:styleId="6">
    <w:name w:val="Table Grid"/>
    <w:basedOn w:val="5"/>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2017-05-03T12:05:00Z</dcterms:created>
  <dc:creator>匿名用户</dc:creator>
  <cp:lastModifiedBy>zw</cp:lastModifiedBy>
  <dcterms:modified xsi:type="dcterms:W3CDTF">2023-10-24T10:30:50Z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394503673_btnclosed</vt:lpwstr>
  </property>
</Properties>
</file>