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</w:t>
      </w:r>
      <w:r>
        <w:rPr>
          <w:rFonts w:hint="eastAsia" w:ascii="方正小标宋_GBK" w:hAnsi="仿宋_GB2312" w:eastAsia="方正小标宋_GBK" w:cs="仿宋_GB2312"/>
          <w:sz w:val="44"/>
          <w:szCs w:val="44"/>
          <w:lang w:eastAsia="zh-CN"/>
        </w:rPr>
        <w:t>中卫市沙坡头区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填报</w:t>
      </w: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中卫市沙坡头区司法局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2262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2246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2221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26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35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14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82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11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68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85473733.66元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417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1043692.00元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5293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2527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405098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138545689.86元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12090776"/>
    <w:rsid w:val="24E2586C"/>
    <w:rsid w:val="340150F5"/>
    <w:rsid w:val="5B7B0341"/>
    <w:rsid w:val="6F5FE9F8"/>
    <w:rsid w:val="9BFA3E43"/>
    <w:rsid w:val="C73F8470"/>
    <w:rsid w:val="F75FE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2022-01-05T16:21:00Z</dcterms:created>
  <dc:creator>Administrator</dc:creator>
  <cp:lastModifiedBy>AA～</cp:lastModifiedBy>
  <cp:lastPrinted>2022-01-13T09:19:40Z</cp:lastPrinted>
  <dcterms:modified xsi:type="dcterms:W3CDTF">2022-01-13T09:24:43Z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5108AC475B9B4AB2A8F5D5EEFD4D0A27</vt:lpwstr>
  </property>
</Properties>
</file>