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kinsoku/>
        <w:overflowPunct/>
        <w:topLinePunct w:val="0"/>
        <w:autoSpaceDE/>
        <w:autoSpaceDN/>
        <w:bidi w:val="0"/>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Nimbus Roman No9 L"/>
          <w:sz w:val="36"/>
          <w:szCs w:val="36"/>
        </w:rPr>
      </w:pPr>
      <w:r>
        <w:rPr>
          <w:rFonts w:hint="default" w:ascii="Times New Roman" w:hAnsi="Times New Roman" w:eastAsia="方正小标宋简体" w:cs="Nimbus Roman No9 L"/>
          <w:sz w:val="36"/>
          <w:szCs w:val="36"/>
        </w:rPr>
        <w:t>竞争影响评估</w:t>
      </w:r>
      <w:r>
        <w:rPr>
          <w:rFonts w:hint="default" w:ascii="Times New Roman" w:hAnsi="Times New Roman" w:eastAsia="方正小标宋简体" w:cs="Nimbus Roman No9 L"/>
          <w:sz w:val="36"/>
          <w:szCs w:val="36"/>
          <w:lang w:eastAsia="zh-CN"/>
        </w:rPr>
        <w:t>表</w:t>
      </w:r>
    </w:p>
    <w:tbl>
      <w:tblPr>
        <w:tblStyle w:val="6"/>
        <w:tblW w:w="88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黑体" w:cs="Nimbus Roman No9 L"/>
                <w:sz w:val="28"/>
                <w:szCs w:val="28"/>
                <w:lang w:eastAsia="zh-CN"/>
              </w:rPr>
              <w:t>一、</w:t>
            </w:r>
            <w:r>
              <w:rPr>
                <w:rFonts w:hint="default" w:ascii="Times New Roman" w:hAnsi="Times New Roman" w:eastAsia="黑体" w:cs="Nimbus Roman No9 L"/>
                <w:sz w:val="28"/>
                <w:szCs w:val="28"/>
              </w:rPr>
              <w:t>市场准入和退出标准。</w:t>
            </w:r>
            <w:bookmarkStart w:id="0" w:name="_GoBack"/>
            <w:bookmarkEnd w:id="0"/>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（一）</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设置不合理或者歧视性的准入和退出条件，包括但不限于：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设置明显不必要或者超出实际需要的准入和退出条件，排斥或者限制经营者参与市场竞争；</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2.没有法律、行政法规或者国务院规定依据，对不同所有制、地区、组织形式的经营者</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实施不合理的差别化待遇，设置不平等的市场准入和退出条件；</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3.没有法律、行政法规或者国务院规定依据，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以备案、登记、注册、目录、年检、年报、监制、认定、认证、认可、检验、监测、审定、指定、配号、复检、复审、换证、要求设立分支机构以及其他任何形式，设定或者变相设定市场准入障碍；</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4.没有法律、行政法规或者国务院规定依据，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对企业注销、破产、挂牌转让、搬迁转移等设定或者变相设定市场退出障碍；</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5.</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以行政许可、行政检查、行政处罚、行政强制等方式，强制或者变相强制企业转让技术，设定或者变相设定市场准入和退出障碍。</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（二）未经公平竞争</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授予经营者特许经营权，包括但不限于：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1.在一般竞争性领域</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实施特许经营或者以特许经营为名增设行政许可；</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2.未明确特许经营权期限或者未经法定程序</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延长特许经营权期限；</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3.</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未依法采取招标、竞争性谈判等竞争方式，直接将特许经营权授予特定经营者；</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4.</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设置歧视性条件，使经营者无法公平参与特许经营权竞争。</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（三）</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限定经营、购买、使用特定经营者提供的商品和服务，包括但不限于：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以明确要求、暗示、拒绝或者拖延行政审批、重复检查、不予接入平台或者网络、违法违规给予奖励补贴等方式，限定或者变相限定经营、购买、使用特定经营者提供的商品和服务；</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2.在招标投标、政府采购中</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限定投标人所在地、所有制形式、组织形式，或者设定其他不合理的条件排斥或者限制经营者参与招标投标、政府采购活动；</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3.没有法律、行政法规或者国务院规定依据，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通过设置不合理的项目库、名录库、备选库、资格库等条件，排斥或限制潜在经营者提供商品和服务。</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（四）</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设置没有法律、行政法规或者国务院规定依据的审批或者具有行政审批性质的事前备案程序，包括但不限于：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增设行政审批事项，增加行政审批环节、条件和程序；</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设置具有行政审批性质的前置性备案程序。</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（五）</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对市场准入负面清单以外的行业、领域、业务等设置审批程序，主要指没有法律、行政法规或者国务院规定依据，采取禁止进入、限制</w:t>
            </w:r>
            <w:r>
              <w:rPr>
                <w:rFonts w:hint="default" w:ascii="Times New Roman" w:hAnsi="Times New Roman" w:eastAsia="仿宋_GB2312" w:cs="Nimbus Roman No9 L"/>
                <w:sz w:val="28"/>
                <w:szCs w:val="28"/>
                <w:lang w:eastAsia="zh-CN"/>
              </w:rPr>
              <w:t>经营主体</w:t>
            </w:r>
            <w:r>
              <w:rPr>
                <w:rFonts w:hint="default" w:ascii="Times New Roman" w:hAnsi="Times New Roman" w:eastAsia="仿宋_GB2312" w:cs="Nimbus Roman No9 L"/>
                <w:sz w:val="28"/>
                <w:szCs w:val="28"/>
              </w:rPr>
              <w:t>资质、限制股权比例、限制经营范围和商业模式等方式，限制或者变相限制市场准入。</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8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Nimbus Roman No9 L"/>
                <w:sz w:val="28"/>
                <w:szCs w:val="28"/>
              </w:rPr>
            </w:pPr>
            <w:r>
              <w:rPr>
                <w:rFonts w:hint="default" w:ascii="Times New Roman" w:hAnsi="Times New Roman" w:eastAsia="黑体" w:cs="Nimbus Roman No9 L"/>
                <w:sz w:val="28"/>
                <w:szCs w:val="28"/>
                <w:lang w:eastAsia="zh-CN"/>
              </w:rPr>
              <w:t>二、</w:t>
            </w:r>
            <w:r>
              <w:rPr>
                <w:rFonts w:hint="default" w:ascii="Times New Roman" w:hAnsi="Times New Roman" w:eastAsia="黑体" w:cs="Nimbus Roman No9 L"/>
                <w:sz w:val="28"/>
                <w:szCs w:val="28"/>
              </w:rPr>
              <w:t>商品和要素自由流动标准。</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（一）</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对外地和进口商品、服务实行歧视性价格和歧视性补贴政策，包括但不限于: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1.制定政府定价或者政府指导价时，</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对外地和进口同类商品、服务制定歧视性价格；</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2.对相关商品、服务进行补贴时，</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对外地同类商品、服务，国际经贸协定允许外的进口同类商品以及我国作出国际承诺的进口同类服务不予补贴或者给予较低补贴。</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（二）</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限制外地和进口商品、服务进入本地市场或者阻碍本地商品运出、服务输出，包括但不限于：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对外地商品、服务规定与本地同类商品、服务不同的技术要求、检验标准，或者采取重复检验、重复认证等歧视性技术措施；</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对进口商品规定与本地同类商品不同的技术要求、检验标准，或者采取重复检验、重复认证等歧视性技术措施；</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3.没有法律、行政法规或者国务院规定依据，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对进口服务规定与本地同类服务不同的技术要求、检验标准，或者采取重复检验、重复认证等歧视性技术措施；</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4.</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设置专门针对外地和进口商品、服务的专营、专卖、审批、许可、备案，或者规定不同的条件、程序和期限等；</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5.在道路、车站、港口、航空港或者本行政区域边界</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设置关卡，阻碍外地和进口商品、服务进入本地市场或者本地商品运出和服务输出；</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6.</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通过软件或者互联网设置屏蔽以及采取其他手段，阻碍外地和进口商品、服务进入本地市场或者本地商品运出和服务输出。</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（三）</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排斥或者限制外地经营者参加本地招标投标活动，包括但不限于：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不依法及时、有效、完整地发布招标信息；</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直接规定外地经营者不能参与本地特定的招标投标活动；</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3.对外地经营者</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设定歧视性的资质资格要求或者评标评审标准；</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4.</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将经营者在本地区的业绩、所获得的奖项荣誉作为投标条件、加分条件、中标条件或者用于评价企业信用等级，限制或者变相限制外地经营者参加本地招标投标活动；</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5.没有法律、行政法规或者国务院规定依据，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要求经营者在本地注册设立分支机构，在本地拥有一定办公面积，在本地缴纳社会保险等，限制或者变相限制外地经营者参加本地招标投标活动；</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6.</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通过设定与招标项目的具体特点和实际需要不相适应或者与合同履行无关的资格、技术和商务条件，限制或者变相限制外地经营者参加本地招标投标活动。</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（四）</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排斥、限制或者强制外地经营者在本地投资或者设立分支机构，包括但不限于：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直接拒绝外地经营者在本地投资或者设立分支机构；</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对外地经营者在本地投资的规模、方式以及设立分支机构的地址、模式等进行限制；</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3.没有法律、行政法规或者国务院规定依据，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直接强制外地经营者在本地投资或者设立分支机构；</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4.没有法律、行政法规或者国务院规定依据，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将在本地投资或者设立分支机构作为参与本地招标投标、享受补贴和优惠政策等的必要条件，变相强制外地经营者在本地投资或者设立分支机构。</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（五）</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对外地经营者在本地的投资或者设立的分支机构实行歧视性待遇，侵害其合法权益，包括但不限于：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对外地经营者在本地的投资不给予与本地经营者同等的政策待遇；</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对外地经营者在本地设立的分支机构在经营规模、经营方式、税费缴纳等方面规定与本地经营者不同的要求；</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3.在节能环保、安全生产、健康卫生、工程质量、市场监管等方面，</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对外地经营者在本地设立的分支机构规定歧视性监管标准和要求。</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黑体" w:cs="Nimbus Roman No9 L"/>
                <w:sz w:val="28"/>
                <w:szCs w:val="28"/>
                <w:lang w:eastAsia="zh-CN"/>
              </w:rPr>
              <w:t>三、</w:t>
            </w:r>
            <w:r>
              <w:rPr>
                <w:rFonts w:hint="default" w:ascii="Times New Roman" w:hAnsi="Times New Roman" w:eastAsia="黑体" w:cs="Nimbus Roman No9 L"/>
                <w:sz w:val="28"/>
                <w:szCs w:val="28"/>
              </w:rPr>
              <w:t>影响生产经营成本标准。</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（一）</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违法给予特定经营者优惠政策，包括但不限于：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给予特定经营者财政奖励和补贴；</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2.没有专门的税收法律、法规和国务院规定依据，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给予特定经营者税收优惠政策；</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3.没有法律、行政法规或者国务院规定依据，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在土地、劳动力、资本、技术、数据等要素获取方面，给予特定经营者优惠政策；</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4.没有法律、行政法规或者国务院规定依据，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在环保标准、排污权限等方面给予特定经营者特殊待遇；</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5.没有法律、行政法规或者国务院规定依据，</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对特定经营者减免、缓征或停征行政事业性收费、政府性基金、住房公积金等。</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highlight w:val="yellow"/>
              </w:rPr>
            </w:pPr>
            <w:r>
              <w:rPr>
                <w:rFonts w:hint="default" w:ascii="Times New Roman" w:hAnsi="Times New Roman" w:eastAsia="仿宋_GB2312" w:cs="Nimbus Roman No9 L"/>
                <w:sz w:val="28"/>
                <w:szCs w:val="28"/>
                <w:lang w:val="en-US" w:eastAsia="zh-CN"/>
              </w:rPr>
              <w:t>6.</w:t>
            </w:r>
            <w:r>
              <w:rPr>
                <w:rFonts w:hint="default" w:ascii="Times New Roman" w:hAnsi="Times New Roman" w:eastAsia="仿宋_GB2312" w:cs="Nimbus Roman No9 L"/>
                <w:sz w:val="28"/>
                <w:szCs w:val="28"/>
              </w:rPr>
              <w:t>给予特定经营者的优惠政策</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依法公开。</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Nimbus Roman No9 L"/>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1"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（二）安排财政支出一般</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（三）</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（四）</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在法律规定之外要求经营者提供或扣留经营者各类保证金，包括但不限于：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1.没有法律、行政法规依据或者经国务院批准，</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要求经营者交纳各类保证金；</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8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限定只能以现金形式交纳投标保证金或履约保证金；</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3.在经营者履行相关程序或者完成相关事项后，</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不依法退还经营者交纳的保证金及银行同期存款利息。</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黑体" w:cs="Nimbus Roman No9 L"/>
                <w:sz w:val="28"/>
                <w:szCs w:val="28"/>
                <w:lang w:eastAsia="zh-CN"/>
              </w:rPr>
              <w:t>四、</w:t>
            </w:r>
            <w:r>
              <w:rPr>
                <w:rFonts w:hint="default" w:ascii="Times New Roman" w:hAnsi="Times New Roman" w:eastAsia="黑体" w:cs="Nimbus Roman No9 L"/>
                <w:sz w:val="28"/>
                <w:szCs w:val="28"/>
              </w:rPr>
              <w:t>影响生产经营行为标准。</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8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（一）</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0" w:hRule="atLeast"/>
        </w:trPr>
        <w:tc>
          <w:tcPr>
            <w:tcW w:w="78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（二）</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8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（三）</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超越定价权限进行政府定价，包括但不限于：</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78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对实行政府指导价的商品、服务进行政府定价；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2.对不属于本级政府定价目录范围内的商品、服务</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制定政府定价或者政府指导价；</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3.</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违反《中华人民共和国价格法》等法律法规采取价格干预措施。</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（四）</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违法干预实行市场调节价的商品和服务的价格水平，包括但不限于：</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1.</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制定公布商品和服务的统一执行价、参考价；</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2.</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规定商品和服务的最高或者最低限价；</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7875"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Nimbus Roman No9 L"/>
                <w:sz w:val="28"/>
                <w:szCs w:val="28"/>
              </w:rPr>
            </w:pPr>
            <w:r>
              <w:rPr>
                <w:rFonts w:hint="default" w:ascii="Times New Roman" w:hAnsi="Times New Roman" w:eastAsia="仿宋_GB2312" w:cs="Nimbus Roman No9 L"/>
                <w:sz w:val="28"/>
                <w:szCs w:val="28"/>
              </w:rPr>
              <w:t>3.</w:t>
            </w:r>
            <w:r>
              <w:rPr>
                <w:rFonts w:hint="default" w:ascii="Times New Roman" w:hAnsi="Times New Roman" w:eastAsia="仿宋_GB2312" w:cs="Nimbus Roman No9 L"/>
                <w:sz w:val="28"/>
                <w:szCs w:val="28"/>
                <w:lang w:eastAsia="zh-CN"/>
              </w:rPr>
              <w:t>是否</w:t>
            </w:r>
            <w:r>
              <w:rPr>
                <w:rFonts w:hint="default" w:ascii="Times New Roman" w:hAnsi="Times New Roman" w:eastAsia="仿宋_GB2312" w:cs="Nimbus Roman No9 L"/>
                <w:sz w:val="28"/>
                <w:szCs w:val="28"/>
              </w:rPr>
              <w:t>干预影响商品和服务价格水平的手续费、折扣或者其他费用。</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Nimbus Roman No9 L"/>
                <w:sz w:val="28"/>
                <w:szCs w:val="28"/>
              </w:rPr>
            </w:pPr>
          </w:p>
        </w:tc>
      </w:tr>
    </w:tbl>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82B2E"/>
    <w:rsid w:val="51B82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rPr>
  </w:style>
  <w:style w:type="paragraph" w:styleId="3">
    <w:name w:val="Title"/>
    <w:basedOn w:val="1"/>
    <w:qFormat/>
    <w:uiPriority w:val="0"/>
    <w:pPr>
      <w:widowControl/>
      <w:jc w:val="center"/>
      <w:outlineLvl w:val="0"/>
    </w:pPr>
    <w:rPr>
      <w:rFonts w:ascii="Arial" w:hAnsi="Arial" w:eastAsia="微软雅黑" w:cs="Arial"/>
      <w:b/>
      <w:bCs/>
      <w:kern w:val="0"/>
      <w:sz w:val="21"/>
      <w:szCs w:val="2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2023-12-18T09:25:00Z</dcterms:created>
  <dc:creator>Administrator</dc:creator>
  <cp:lastModifiedBy>Administrator</cp:lastModifiedBy>
  <dcterms:modified xsi:type="dcterms:W3CDTF">2023-12-18T09:27:57Z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