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589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2003"/>
        <w:gridCol w:w="1344"/>
        <w:gridCol w:w="1388"/>
        <w:gridCol w:w="1036"/>
        <w:gridCol w:w="2181"/>
        <w:gridCol w:w="1418"/>
        <w:gridCol w:w="1372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5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5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柔远镇2019年农村环境综合治理任务分配表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4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3285"/>
                <w:tab w:val="right" w:pos="6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厕所革命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3285"/>
                <w:tab w:val="right" w:pos="6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生活垃圾治理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生活污水治理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2019年完成卫生改厕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建设无害化乡镇卫生公厕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建设无害化村级卫生公厕</w:t>
            </w: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一体化处理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设备（座）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村庄美化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绿化（亩）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高营村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环卫设施全，无垃圾乱扔乱放现象，垃圾桶内垃圾及时清理，巷道无杂物三堆。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基本实现外观整洁、建设有序和管理规范、无乱搭乱建现象，残垣断壁清理。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沙渠村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砖塔村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渡口村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莫楼村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夹渠村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镇靖村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冯庄村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雍湖村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范庙村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施庙村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刘台村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</w:t>
            </w:r>
          </w:p>
        </w:tc>
        <w:tc>
          <w:tcPr>
            <w:tcW w:w="4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10月底前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11月底前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11月底前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11月底前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373F"/>
    <w:rsid w:val="74783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2019-05-17T07:02:00Z</dcterms:created>
  <dc:creator>念卿</dc:creator>
  <cp:lastModifiedBy>念卿</cp:lastModifiedBy>
  <dcterms:modified xsi:type="dcterms:W3CDTF">2019-05-17T07:05:34Z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