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沙坡头区201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年脱贫销号贫困村公示表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800"/>
        <w:jc w:val="center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tbl>
      <w:tblPr>
        <w:tblStyle w:val="4"/>
        <w:tblpPr w:leftFromText="180" w:rightFromText="180" w:vertAnchor="text" w:horzAnchor="page" w:tblpX="1132" w:tblpY="100"/>
        <w:tblOverlap w:val="never"/>
        <w:tblW w:w="9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193"/>
        <w:gridCol w:w="1020"/>
        <w:gridCol w:w="1020"/>
        <w:gridCol w:w="1020"/>
        <w:gridCol w:w="1020"/>
        <w:gridCol w:w="1020"/>
        <w:gridCol w:w="1020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300" w:firstLineChars="10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未脱贫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  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未脱贫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贫  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发生率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永乐村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1.02%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鸣沙村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2.13%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区委书记：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区  长：           分管副区长：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区扶贫办主任：                    统计局局长：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3C34"/>
    <w:rsid w:val="43373C34"/>
    <w:rsid w:val="56C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2018-02-13T03:34:00Z</dcterms:created>
  <dc:creator>陌黎1413089863</dc:creator>
  <cp:lastModifiedBy>土豆</cp:lastModifiedBy>
  <cp:lastPrinted>2018-10-11T04:18:43Z</cp:lastPrinted>
  <dcterms:modified xsi:type="dcterms:W3CDTF">2018-10-11T04:18:50Z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