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小标宋_GBK" w:cs="Times New Roman"/>
          <w:bCs w:val="0"/>
          <w:color w:val="000000"/>
          <w:sz w:val="44"/>
          <w:szCs w:val="44"/>
          <w:highlight w:val="none"/>
          <w:lang w:val="en-US" w:eastAsia="zh-CN"/>
        </w:rPr>
      </w:pPr>
      <w:r>
        <w:rPr>
          <w:rFonts w:hint="default" w:ascii="Times New Roman" w:hAnsi="Times New Roman" w:eastAsia="方正小标宋_GBK" w:cs="Times New Roman"/>
          <w:bCs w:val="0"/>
          <w:color w:val="000000"/>
          <w:sz w:val="44"/>
          <w:szCs w:val="44"/>
          <w:highlight w:val="none"/>
          <w:lang w:val="en-US" w:eastAsia="zh-CN"/>
        </w:rPr>
        <w:t>兴仁国家基本气象站气象探测环境保护</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小标宋_GBK" w:cs="Times New Roman"/>
          <w:bCs w:val="0"/>
          <w:color w:val="000000"/>
          <w:sz w:val="44"/>
          <w:szCs w:val="44"/>
          <w:highlight w:val="none"/>
          <w:lang w:val="en-US" w:eastAsia="zh-CN"/>
        </w:rPr>
      </w:pPr>
      <w:r>
        <w:rPr>
          <w:rFonts w:hint="default" w:ascii="Times New Roman" w:hAnsi="Times New Roman" w:eastAsia="方正小标宋_GBK" w:cs="Times New Roman"/>
          <w:bCs w:val="0"/>
          <w:color w:val="000000"/>
          <w:sz w:val="44"/>
          <w:szCs w:val="44"/>
          <w:highlight w:val="none"/>
          <w:lang w:val="en-US" w:eastAsia="zh-CN"/>
        </w:rPr>
        <w:t>专项规划（2023—2035年）</w:t>
      </w:r>
    </w:p>
    <w:p>
      <w:pPr>
        <w:keepNext w:val="0"/>
        <w:keepLines w:val="0"/>
        <w:pageBreakBefore w:val="0"/>
        <w:kinsoku/>
        <w:wordWrap/>
        <w:overflowPunct/>
        <w:topLinePunct w:val="0"/>
        <w:autoSpaceDE/>
        <w:autoSpaceDN/>
        <w:bidi w:val="0"/>
        <w:spacing w:line="56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黑体" w:cs="Times New Roman"/>
          <w:color w:val="000000" w:themeColor="text1"/>
          <w:szCs w:val="32"/>
          <w14:textFill>
            <w14:solidFill>
              <w14:schemeClr w14:val="tx1"/>
            </w14:solidFill>
          </w14:textFill>
        </w:rPr>
      </w:pPr>
      <w:r>
        <w:rPr>
          <w:rFonts w:hint="default" w:ascii="Times New Roman" w:hAnsi="Times New Roman" w:eastAsia="黑体" w:cs="Times New Roman"/>
          <w:color w:val="000000" w:themeColor="text1"/>
          <w:szCs w:val="32"/>
          <w14:textFill>
            <w14:solidFill>
              <w14:schemeClr w14:val="tx1"/>
            </w14:solidFill>
          </w14:textFill>
        </w:rPr>
        <w:t>前</w:t>
      </w:r>
      <w:r>
        <w:rPr>
          <w:rFonts w:hint="default" w:ascii="Times New Roman" w:hAnsi="Times New Roman" w:eastAsia="黑体" w:cs="Times New Roman"/>
          <w:color w:val="000000" w:themeColor="text1"/>
          <w:szCs w:val="3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Cs w:val="32"/>
          <w14:textFill>
            <w14:solidFill>
              <w14:schemeClr w14:val="tx1"/>
            </w14:solidFill>
          </w14:textFill>
        </w:rPr>
        <w:t>言</w:t>
      </w:r>
    </w:p>
    <w:p>
      <w:pPr>
        <w:keepNext w:val="0"/>
        <w:keepLines w:val="0"/>
        <w:pageBreakBefore w:val="0"/>
        <w:kinsoku/>
        <w:wordWrap/>
        <w:overflowPunct/>
        <w:topLinePunct w:val="0"/>
        <w:autoSpaceDE/>
        <w:autoSpaceDN/>
        <w:bidi w:val="0"/>
        <w:spacing w:line="560" w:lineRule="exact"/>
        <w:ind w:firstLine="628" w:firstLineChars="200"/>
        <w:textAlignment w:val="auto"/>
        <w:rPr>
          <w:rFonts w:hint="default" w:ascii="Times New Roman" w:hAnsi="Times New Roman" w:cs="Times New Roman"/>
          <w:bCs/>
          <w:color w:val="000000" w:themeColor="text1"/>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为有效保护观测站气象探测环境和设施，保证气象探测工作的顺利进行，确保获取的气象探测资料具有代表性、准确性、比较性，为天气预报、气象信息、气候分析、气象服务以及气候变化提供科学依据，提高气象防灾减灾救灾能力、应对气候变化的监测能力、气象预报准确率，促进经济社会全面协调可持续发展，依照《中华人民共和国气象法》《气象设施和气象探测环境保护条例》（中华人民共和国国务院令第623号）和《宁夏回族自治区气象设施和气象探测环境保护办法》对气象设施和气象探测环境的保护要求，特制订《兴仁国家基本气象站探测环境保护专项规划（2023</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2035年）》。</w:t>
      </w: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color w:val="000000" w:themeColor="text1"/>
          <w:szCs w:val="32"/>
          <w14:textFill>
            <w14:solidFill>
              <w14:schemeClr w14:val="tx1"/>
            </w14:solidFill>
          </w14:textFill>
        </w:rPr>
      </w:pPr>
      <w:bookmarkStart w:id="0" w:name="_Toc392225584"/>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小标宋_GBK" w:cs="Times New Roman"/>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b/>
          <w:color w:val="000000" w:themeColor="text1"/>
          <w:szCs w:val="32"/>
          <w14:textFill>
            <w14:solidFill>
              <w14:schemeClr w14:val="tx1"/>
            </w14:solidFill>
          </w14:textFill>
        </w:rPr>
      </w:pPr>
    </w:p>
    <w:p>
      <w:pPr>
        <w:pStyle w:val="20"/>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小标宋_GBK" w:cs="Times New Roman"/>
          <w:b/>
          <w:color w:val="000000" w:themeColor="text1"/>
          <w:szCs w:val="32"/>
          <w14:textFill>
            <w14:solidFill>
              <w14:schemeClr w14:val="tx1"/>
            </w14:solidFill>
          </w14:textFill>
        </w:rPr>
      </w:pPr>
    </w:p>
    <w:p>
      <w:pPr>
        <w:pStyle w:val="20"/>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小标宋_GBK" w:cs="Times New Roman"/>
          <w:b/>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黑体" w:cs="Times New Roman"/>
          <w:b w:val="0"/>
          <w:bCs/>
          <w:color w:val="000000" w:themeColor="text1"/>
          <w:kern w:val="0"/>
          <w:sz w:val="32"/>
          <w:szCs w:val="32"/>
          <w14:textFill>
            <w14:solidFill>
              <w14:schemeClr w14:val="tx1"/>
            </w14:solidFill>
          </w14:textFill>
        </w:rPr>
      </w:pPr>
      <w:r>
        <w:rPr>
          <w:rFonts w:hint="default" w:ascii="Times New Roman" w:hAnsi="Times New Roman" w:eastAsia="黑体" w:cs="Times New Roman"/>
          <w:b w:val="0"/>
          <w:bCs/>
          <w:color w:val="000000" w:themeColor="text1"/>
          <w:szCs w:val="32"/>
          <w14:textFill>
            <w14:solidFill>
              <w14:schemeClr w14:val="tx1"/>
            </w14:solidFill>
          </w14:textFill>
        </w:rPr>
        <w:t>第一章　城乡概况</w:t>
      </w:r>
      <w:bookmarkEnd w:id="0"/>
    </w:p>
    <w:p>
      <w:pPr>
        <w:pStyle w:val="32"/>
        <w:keepNext w:val="0"/>
        <w:keepLines w:val="0"/>
        <w:pageBreakBefore w:val="0"/>
        <w:kinsoku/>
        <w:wordWrap/>
        <w:overflowPunct/>
        <w:topLinePunct w:val="0"/>
        <w:autoSpaceDE/>
        <w:autoSpaceDN/>
        <w:bidi w:val="0"/>
        <w:spacing w:line="560" w:lineRule="exact"/>
        <w:ind w:firstLine="616" w:firstLineChars="196"/>
        <w:textAlignment w:val="auto"/>
        <w:rPr>
          <w:rFonts w:hint="default" w:ascii="Times New Roman" w:hAnsi="Times New Roman" w:eastAsia="楷体_GB2312" w:cs="Times New Roman"/>
          <w:b/>
          <w:bCs w:val="0"/>
          <w:color w:val="000000" w:themeColor="text1"/>
          <w:kern w:val="0"/>
          <w:sz w:val="32"/>
          <w:szCs w:val="32"/>
          <w14:textFill>
            <w14:solidFill>
              <w14:schemeClr w14:val="tx1"/>
            </w14:solidFill>
          </w14:textFill>
        </w:rPr>
      </w:pPr>
    </w:p>
    <w:p>
      <w:pPr>
        <w:pStyle w:val="32"/>
        <w:keepNext w:val="0"/>
        <w:keepLines w:val="0"/>
        <w:pageBreakBefore w:val="0"/>
        <w:kinsoku/>
        <w:wordWrap/>
        <w:overflowPunct/>
        <w:topLinePunct w:val="0"/>
        <w:autoSpaceDE/>
        <w:autoSpaceDN/>
        <w:bidi w:val="0"/>
        <w:spacing w:line="500" w:lineRule="exact"/>
        <w:ind w:firstLine="616" w:firstLineChars="196"/>
        <w:textAlignment w:val="auto"/>
        <w:rPr>
          <w:rFonts w:hint="default" w:ascii="Times New Roman" w:hAnsi="Times New Roman" w:eastAsia="楷体_GB2312" w:cs="Times New Roman"/>
          <w:b/>
          <w:bCs w:val="0"/>
          <w:color w:val="000000" w:themeColor="text1"/>
          <w:kern w:val="0"/>
          <w:sz w:val="32"/>
          <w:szCs w:val="32"/>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14:textFill>
            <w14:solidFill>
              <w14:schemeClr w14:val="tx1"/>
            </w14:solidFill>
          </w14:textFill>
        </w:rPr>
        <w:t>1.1区域位置</w:t>
      </w:r>
    </w:p>
    <w:p>
      <w:pPr>
        <w:keepNext w:val="0"/>
        <w:keepLines w:val="0"/>
        <w:pageBreakBefore w:val="0"/>
        <w:widowControl w:val="0"/>
        <w:kinsoku/>
        <w:wordWrap/>
        <w:overflowPunct/>
        <w:topLinePunct w:val="0"/>
        <w:autoSpaceDE/>
        <w:autoSpaceDN/>
        <w:bidi w:val="0"/>
        <w:adjustRightInd/>
        <w:spacing w:line="500" w:lineRule="exact"/>
        <w:ind w:firstLine="628" w:firstLineChars="200"/>
        <w:jc w:val="both"/>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兴仁镇位于宁夏中卫市沙坡头区最南端，地处两省（宁夏、甘肃）三县（海原、中宁、靖远）一区（沙坡头区）交汇处，京藏高速、109国道和205省道在集镇交汇。地理坐标为东经105°15′，北纬36°56′，海拔高度1697.9米；全镇总面积727.7平方公里（兴仁辖区318.7平方公里、蒿川林场409平方公里），其中耕地总面积32.8万亩，常用耕地面积18.9万亩，退耕还林还草8.28万亩，其他用地5.62万亩</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兴仁镇辖11个行政村，51个自然村（队），总人口9369户30510人。</w:t>
      </w:r>
      <w:r>
        <w:rPr>
          <w:rFonts w:hint="default" w:ascii="Times New Roman" w:hAnsi="Times New Roman" w:eastAsia="仿宋_GB2312" w:cs="Times New Roman"/>
          <w:color w:val="000000" w:themeColor="text1"/>
          <w:kern w:val="0"/>
          <w:szCs w:val="32"/>
          <w14:textFill>
            <w14:solidFill>
              <w14:schemeClr w14:val="tx1"/>
            </w14:solidFill>
          </w14:textFill>
        </w:rPr>
        <w:t>现属中卫市沙坡头区管辖。</w:t>
      </w:r>
    </w:p>
    <w:p>
      <w:pPr>
        <w:keepNext w:val="0"/>
        <w:keepLines w:val="0"/>
        <w:pageBreakBefore w:val="0"/>
        <w:widowControl w:val="0"/>
        <w:kinsoku/>
        <w:wordWrap/>
        <w:overflowPunct/>
        <w:topLinePunct w:val="0"/>
        <w:autoSpaceDE/>
        <w:autoSpaceDN/>
        <w:bidi w:val="0"/>
        <w:adjustRightInd/>
        <w:snapToGrid w:val="0"/>
        <w:spacing w:line="500" w:lineRule="exact"/>
        <w:ind w:firstLine="628" w:firstLineChars="200"/>
        <w:jc w:val="both"/>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兴仁国家基本气象站，1957年12月建站，位于东经105°14′50″，北纬36°56′18″，海拔为1697.9米。</w:t>
      </w:r>
    </w:p>
    <w:p>
      <w:pPr>
        <w:pStyle w:val="32"/>
        <w:keepNext w:val="0"/>
        <w:keepLines w:val="0"/>
        <w:pageBreakBefore w:val="0"/>
        <w:kinsoku/>
        <w:wordWrap/>
        <w:overflowPunct/>
        <w:topLinePunct w:val="0"/>
        <w:autoSpaceDE/>
        <w:autoSpaceDN/>
        <w:bidi w:val="0"/>
        <w:spacing w:line="500" w:lineRule="exact"/>
        <w:ind w:firstLine="616" w:firstLineChars="196"/>
        <w:textAlignment w:val="auto"/>
        <w:rPr>
          <w:rFonts w:hint="default" w:ascii="Times New Roman" w:hAnsi="Times New Roman" w:eastAsia="楷体_GB2312" w:cs="Times New Roman"/>
          <w:b/>
          <w:bCs w:val="0"/>
          <w:color w:val="000000" w:themeColor="text1"/>
          <w:kern w:val="0"/>
          <w:sz w:val="32"/>
          <w:szCs w:val="32"/>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14:textFill>
            <w14:solidFill>
              <w14:schemeClr w14:val="tx1"/>
            </w14:solidFill>
          </w14:textFill>
        </w:rPr>
        <w:t>1.2地形地貌</w:t>
      </w:r>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全镇地貌多属黄土丘陵，</w:t>
      </w:r>
      <w:r>
        <w:rPr>
          <w:rFonts w:hint="default" w:ascii="Times New Roman" w:hAnsi="Times New Roman" w:cs="Times New Roman"/>
          <w:color w:val="000000" w:themeColor="text1"/>
          <w:kern w:val="0"/>
          <w:szCs w:val="32"/>
          <w:lang w:val="en-US" w:eastAsia="zh-CN"/>
          <w14:textFill>
            <w14:solidFill>
              <w14:schemeClr w14:val="tx1"/>
            </w14:solidFill>
          </w14:textFill>
        </w:rPr>
        <w:t>四面环山，呈“盆地式”形状</w:t>
      </w:r>
      <w:r>
        <w:rPr>
          <w:rFonts w:hint="default" w:ascii="Times New Roman" w:hAnsi="Times New Roman" w:cs="Times New Roman"/>
          <w:color w:val="000000" w:themeColor="text1"/>
          <w:kern w:val="0"/>
          <w:szCs w:val="32"/>
          <w14:textFill>
            <w14:solidFill>
              <w14:schemeClr w14:val="tx1"/>
            </w14:solidFill>
          </w14:textFill>
        </w:rPr>
        <w:t>。</w:t>
      </w:r>
    </w:p>
    <w:p>
      <w:pPr>
        <w:pStyle w:val="32"/>
        <w:keepNext w:val="0"/>
        <w:keepLines w:val="0"/>
        <w:pageBreakBefore w:val="0"/>
        <w:kinsoku/>
        <w:wordWrap/>
        <w:overflowPunct/>
        <w:topLinePunct w:val="0"/>
        <w:autoSpaceDE/>
        <w:autoSpaceDN/>
        <w:bidi w:val="0"/>
        <w:spacing w:line="500" w:lineRule="exact"/>
        <w:ind w:firstLine="616" w:firstLineChars="196"/>
        <w:textAlignment w:val="auto"/>
        <w:rPr>
          <w:rFonts w:hint="default" w:ascii="Times New Roman" w:hAnsi="Times New Roman" w:eastAsia="楷体_GB2312" w:cs="Times New Roman"/>
          <w:b/>
          <w:bCs w:val="0"/>
          <w:color w:val="000000" w:themeColor="text1"/>
          <w:kern w:val="0"/>
          <w:sz w:val="32"/>
          <w:szCs w:val="32"/>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14:textFill>
            <w14:solidFill>
              <w14:schemeClr w14:val="tx1"/>
            </w14:solidFill>
          </w14:textFill>
        </w:rPr>
        <w:t>1.3气候环境</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兴仁镇地处宁夏中部干旱带，气候属典型的荒漠季风气候，</w:t>
      </w:r>
      <w:r>
        <w:rPr>
          <w:rFonts w:hint="default" w:ascii="Times New Roman" w:hAnsi="Times New Roman" w:cs="Times New Roman"/>
          <w:color w:val="000000" w:themeColor="text1"/>
          <w:szCs w:val="32"/>
          <w14:textFill>
            <w14:solidFill>
              <w14:schemeClr w14:val="tx1"/>
            </w14:solidFill>
          </w14:textFill>
        </w:rPr>
        <w:t>春暖迟</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夏热短</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秋凉早</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寒冬长</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干旱少雨</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风大沙多</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昼夜温差大</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光照充足是当地气候的主要特点。</w:t>
      </w:r>
      <w:r>
        <w:rPr>
          <w:rFonts w:hint="default" w:ascii="Times New Roman" w:hAnsi="Times New Roman" w:cs="Times New Roman"/>
          <w:color w:val="000000" w:themeColor="text1"/>
          <w:szCs w:val="32"/>
          <w:lang w:eastAsia="zh-CN"/>
          <w14:textFill>
            <w14:solidFill>
              <w14:schemeClr w14:val="tx1"/>
            </w14:solidFill>
          </w14:textFill>
        </w:rPr>
        <w:t>该地区</w:t>
      </w:r>
      <w:r>
        <w:rPr>
          <w:rFonts w:hint="default" w:ascii="Times New Roman" w:hAnsi="Times New Roman" w:cs="Times New Roman"/>
          <w:color w:val="000000" w:themeColor="text1"/>
          <w:kern w:val="0"/>
          <w:szCs w:val="32"/>
          <w14:textFill>
            <w14:solidFill>
              <w14:schemeClr w14:val="tx1"/>
            </w14:solidFill>
          </w14:textFill>
        </w:rPr>
        <w:t>生态环境脆弱，各种自然灾害频繁，尤其以旱灾为重。</w:t>
      </w:r>
      <w:r>
        <w:rPr>
          <w:rFonts w:hint="default" w:ascii="Times New Roman" w:hAnsi="Times New Roman" w:cs="Times New Roman"/>
          <w:color w:val="000000" w:themeColor="text1"/>
          <w:szCs w:val="32"/>
          <w14:textFill>
            <w14:solidFill>
              <w14:schemeClr w14:val="tx1"/>
            </w14:solidFill>
          </w14:textFill>
        </w:rPr>
        <w:t>年平均气温为7.8℃，年平均降水量为244.1毫米，年日照时数2958.2小时。</w:t>
      </w:r>
    </w:p>
    <w:p>
      <w:pPr>
        <w:pStyle w:val="32"/>
        <w:keepNext w:val="0"/>
        <w:keepLines w:val="0"/>
        <w:pageBreakBefore w:val="0"/>
        <w:kinsoku/>
        <w:wordWrap/>
        <w:overflowPunct/>
        <w:topLinePunct w:val="0"/>
        <w:autoSpaceDE/>
        <w:autoSpaceDN/>
        <w:bidi w:val="0"/>
        <w:spacing w:line="500" w:lineRule="exact"/>
        <w:ind w:firstLine="616" w:firstLineChars="196"/>
        <w:textAlignment w:val="auto"/>
        <w:rPr>
          <w:rFonts w:hint="default" w:ascii="Times New Roman" w:hAnsi="Times New Roman" w:eastAsia="楷体_GB2312" w:cs="Times New Roman"/>
          <w:b/>
          <w:bCs w:val="0"/>
          <w:color w:val="000000" w:themeColor="text1"/>
          <w:kern w:val="0"/>
          <w:sz w:val="32"/>
          <w:szCs w:val="32"/>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14:textFill>
            <w14:solidFill>
              <w14:schemeClr w14:val="tx1"/>
            </w14:solidFill>
          </w14:textFill>
        </w:rPr>
        <w:t>1.4 气象灾害</w:t>
      </w:r>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兴仁镇</w:t>
      </w:r>
      <w:r>
        <w:rPr>
          <w:rFonts w:hint="default" w:ascii="Times New Roman" w:hAnsi="Times New Roman" w:cs="Times New Roman"/>
          <w:color w:val="000000" w:themeColor="text1"/>
          <w:szCs w:val="32"/>
          <w14:textFill>
            <w14:solidFill>
              <w14:schemeClr w14:val="tx1"/>
            </w14:solidFill>
          </w14:textFill>
        </w:rPr>
        <w:t>灾害性天气主要有</w:t>
      </w:r>
      <w:r>
        <w:rPr>
          <w:rFonts w:hint="default" w:ascii="Times New Roman" w:hAnsi="Times New Roman" w:cs="Times New Roman"/>
          <w:color w:val="000000" w:themeColor="text1"/>
          <w:kern w:val="0"/>
          <w:szCs w:val="32"/>
          <w14:textFill>
            <w14:solidFill>
              <w14:schemeClr w14:val="tx1"/>
            </w14:solidFill>
          </w14:textFill>
        </w:rPr>
        <w:t>干旱、大风、冰雹、洪涝、沙尘暴、雷暴及寒潮</w:t>
      </w:r>
      <w:r>
        <w:rPr>
          <w:rFonts w:hint="default" w:ascii="Times New Roman" w:hAnsi="Times New Roman" w:cs="Times New Roman"/>
          <w:color w:val="000000" w:themeColor="text1"/>
          <w:szCs w:val="32"/>
          <w14:textFill>
            <w14:solidFill>
              <w14:schemeClr w14:val="tx1"/>
            </w14:solidFill>
          </w14:textFill>
        </w:rPr>
        <w:t>，制约和影响当地农业生产的发展。</w:t>
      </w:r>
    </w:p>
    <w:p>
      <w:pPr>
        <w:keepNext w:val="0"/>
        <w:keepLines w:val="0"/>
        <w:pageBreakBefore w:val="0"/>
        <w:kinsoku/>
        <w:wordWrap/>
        <w:overflowPunct/>
        <w:topLinePunct w:val="0"/>
        <w:autoSpaceDE/>
        <w:autoSpaceDN/>
        <w:bidi w:val="0"/>
        <w:spacing w:line="500" w:lineRule="exact"/>
        <w:jc w:val="center"/>
        <w:textAlignment w:val="auto"/>
        <w:rPr>
          <w:rFonts w:hint="default" w:ascii="Times New Roman" w:hAnsi="Times New Roman" w:eastAsia="方正小标宋_GBK" w:cs="Times New Roman"/>
          <w:b/>
          <w:color w:val="000000" w:themeColor="text1"/>
          <w:szCs w:val="32"/>
          <w14:textFill>
            <w14:solidFill>
              <w14:schemeClr w14:val="tx1"/>
            </w14:solidFill>
          </w14:textFill>
        </w:rPr>
      </w:pPr>
      <w:bookmarkStart w:id="1" w:name="_Toc345073024"/>
      <w:bookmarkStart w:id="2" w:name="_Toc372808341"/>
      <w:bookmarkStart w:id="3" w:name="_Toc392225587"/>
    </w:p>
    <w:p>
      <w:pPr>
        <w:keepNext w:val="0"/>
        <w:keepLines w:val="0"/>
        <w:pageBreakBefore w:val="0"/>
        <w:kinsoku/>
        <w:wordWrap/>
        <w:overflowPunct/>
        <w:topLinePunct w:val="0"/>
        <w:autoSpaceDE/>
        <w:autoSpaceDN/>
        <w:bidi w:val="0"/>
        <w:spacing w:line="500" w:lineRule="exact"/>
        <w:jc w:val="center"/>
        <w:textAlignment w:val="auto"/>
        <w:rPr>
          <w:rFonts w:hint="default" w:ascii="Times New Roman" w:hAnsi="Times New Roman" w:eastAsia="黑体" w:cs="Times New Roman"/>
          <w:b w:val="0"/>
          <w:bCs/>
          <w:color w:val="000000" w:themeColor="text1"/>
          <w:szCs w:val="32"/>
          <w14:textFill>
            <w14:solidFill>
              <w14:schemeClr w14:val="tx1"/>
            </w14:solidFill>
          </w14:textFill>
        </w:rPr>
      </w:pPr>
      <w:r>
        <w:rPr>
          <w:rFonts w:hint="default" w:ascii="Times New Roman" w:hAnsi="Times New Roman" w:eastAsia="黑体" w:cs="Times New Roman"/>
          <w:b w:val="0"/>
          <w:bCs/>
          <w:color w:val="000000" w:themeColor="text1"/>
          <w:szCs w:val="32"/>
          <w14:textFill>
            <w14:solidFill>
              <w14:schemeClr w14:val="tx1"/>
            </w14:solidFill>
          </w14:textFill>
        </w:rPr>
        <w:t>第二章　指导思想和主要原则</w:t>
      </w:r>
      <w:bookmarkEnd w:id="1"/>
      <w:bookmarkEnd w:id="2"/>
      <w:bookmarkEnd w:id="3"/>
      <w:bookmarkStart w:id="4" w:name="_Toc345073025"/>
      <w:bookmarkStart w:id="5" w:name="_Toc392225588"/>
      <w:bookmarkStart w:id="6" w:name="_Toc372808342"/>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eastAsia="楷体_GB2312" w:cs="Times New Roman"/>
          <w:b/>
          <w:bCs/>
          <w:color w:val="000000" w:themeColor="text1"/>
          <w:szCs w:val="32"/>
          <w14:textFill>
            <w14:solidFill>
              <w14:schemeClr w14:val="tx1"/>
            </w14:solidFill>
          </w14:textFill>
        </w:rPr>
      </w:pPr>
    </w:p>
    <w:p>
      <w:pPr>
        <w:pStyle w:val="32"/>
        <w:keepNext w:val="0"/>
        <w:keepLines w:val="0"/>
        <w:pageBreakBefore w:val="0"/>
        <w:kinsoku/>
        <w:wordWrap/>
        <w:overflowPunct/>
        <w:topLinePunct w:val="0"/>
        <w:autoSpaceDE/>
        <w:autoSpaceDN/>
        <w:bidi w:val="0"/>
        <w:spacing w:line="500" w:lineRule="exact"/>
        <w:ind w:firstLine="616" w:firstLineChars="196"/>
        <w:textAlignment w:val="auto"/>
        <w:rPr>
          <w:rFonts w:hint="default" w:ascii="Times New Roman" w:hAnsi="Times New Roman" w:eastAsia="楷体_GB2312" w:cs="Times New Roman"/>
          <w:b/>
          <w:bCs w:val="0"/>
          <w:color w:val="000000" w:themeColor="text1"/>
          <w:kern w:val="0"/>
          <w:sz w:val="32"/>
          <w:szCs w:val="32"/>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14:textFill>
            <w14:solidFill>
              <w14:schemeClr w14:val="tx1"/>
            </w14:solidFill>
          </w14:textFill>
        </w:rPr>
        <w:t>2.1 指导思想</w:t>
      </w:r>
      <w:bookmarkEnd w:id="4"/>
      <w:bookmarkEnd w:id="5"/>
      <w:bookmarkEnd w:id="6"/>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bCs/>
          <w:color w:val="000000" w:themeColor="text1"/>
          <w:szCs w:val="32"/>
          <w14:textFill>
            <w14:solidFill>
              <w14:schemeClr w14:val="tx1"/>
            </w14:solidFill>
          </w14:textFill>
        </w:rPr>
        <w:t>以习近平新时代中国特色社会主义思想为指导，深入贯彻党的二十大精神</w:t>
      </w:r>
      <w:r>
        <w:rPr>
          <w:rFonts w:hint="default" w:ascii="Times New Roman" w:hAnsi="Times New Roman" w:eastAsia="仿宋_GB2312" w:cs="Times New Roman"/>
          <w:color w:val="000000" w:themeColor="text1"/>
          <w:szCs w:val="32"/>
          <w14:textFill>
            <w14:solidFill>
              <w14:schemeClr w14:val="tx1"/>
            </w14:solidFill>
          </w14:textFill>
        </w:rPr>
        <w:t>、自治区第十三次党代会和市第十一次党代会精神，</w:t>
      </w:r>
      <w:r>
        <w:rPr>
          <w:rFonts w:hint="default" w:ascii="Times New Roman" w:hAnsi="Times New Roman" w:eastAsia="仿宋_GB2312" w:cs="Times New Roman"/>
          <w:bCs/>
          <w:color w:val="000000" w:themeColor="text1"/>
          <w:szCs w:val="32"/>
          <w14:textFill>
            <w14:solidFill>
              <w14:schemeClr w14:val="tx1"/>
            </w14:solidFill>
          </w14:textFill>
        </w:rPr>
        <w:t xml:space="preserve"> 全面落实《国务院关于印发气象高质量发展纲要</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eastAsia="仿宋_GB2312" w:cs="Times New Roman"/>
          <w:bCs/>
          <w:color w:val="000000" w:themeColor="text1"/>
          <w:szCs w:val="32"/>
          <w14:textFill>
            <w14:solidFill>
              <w14:schemeClr w14:val="tx1"/>
            </w14:solidFill>
          </w14:textFill>
        </w:rPr>
        <w:t>2022—2035年</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eastAsia="仿宋_GB2312" w:cs="Times New Roman"/>
          <w:bCs/>
          <w:color w:val="000000" w:themeColor="text1"/>
          <w:szCs w:val="32"/>
          <w14:textFill>
            <w14:solidFill>
              <w14:schemeClr w14:val="tx1"/>
            </w14:solidFill>
          </w14:textFill>
        </w:rPr>
        <w:t>的通知》</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eastAsia="仿宋_GB2312" w:cs="Times New Roman"/>
          <w:bCs/>
          <w:color w:val="000000" w:themeColor="text1"/>
          <w:szCs w:val="32"/>
          <w14:textFill>
            <w14:solidFill>
              <w14:schemeClr w14:val="tx1"/>
            </w14:solidFill>
          </w14:textFill>
        </w:rPr>
        <w:t>国发〔2022〕11号</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eastAsia="仿宋_GB2312" w:cs="Times New Roman"/>
          <w:bCs/>
          <w:color w:val="000000" w:themeColor="text1"/>
          <w:szCs w:val="32"/>
          <w14:textFill>
            <w14:solidFill>
              <w14:schemeClr w14:val="tx1"/>
            </w14:solidFill>
          </w14:textFill>
        </w:rPr>
        <w:t>要求，</w:t>
      </w:r>
      <w:r>
        <w:rPr>
          <w:rFonts w:hint="default" w:ascii="Times New Roman" w:hAnsi="Times New Roman" w:eastAsia="仿宋_GB2312" w:cs="Times New Roman"/>
          <w:color w:val="000000" w:themeColor="text1"/>
          <w:szCs w:val="32"/>
          <w14:textFill>
            <w14:solidFill>
              <w14:schemeClr w14:val="tx1"/>
            </w14:solidFill>
          </w14:textFill>
        </w:rPr>
        <w:t>按照《气象设施和气象探测环境保护条例》的技术要求，依法保护气象探测环境，保证气象探测工作的顺利进行，确保获取的气象探测资料具有代表性、准确性、比较性，为气象防灾减灾救灾和应对气候变化提供准确的科学依据，为国民经济和人民生活提供可靠保障，促进经济社会全面协调可持续发展。</w:t>
      </w:r>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bookmarkStart w:id="7" w:name="_Toc345073026"/>
      <w:bookmarkStart w:id="8" w:name="_Toc392225589"/>
      <w:bookmarkStart w:id="9" w:name="_Toc372808343"/>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2.2 主要原则</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（1）城市规划与气象探测环境保护相统一的原则，实现城市建设与气象探测环境保护协调发展；</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（2）严格执行各项技术标准的原则；</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（3）科学规划、合理布局、分步改善的原则；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（4）经济合理的原则。</w:t>
      </w:r>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bookmarkStart w:id="10" w:name="_Toc392225590"/>
      <w:bookmarkStart w:id="11" w:name="_Toc345073027"/>
      <w:bookmarkStart w:id="12" w:name="_Toc372808344"/>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2.3 规划依据</w:t>
      </w:r>
      <w:bookmarkEnd w:id="10"/>
      <w:bookmarkEnd w:id="11"/>
      <w:bookmarkEnd w:id="12"/>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bookmarkStart w:id="13" w:name="_Toc372808345"/>
      <w:bookmarkStart w:id="14" w:name="_Toc345073028"/>
      <w:bookmarkStart w:id="15" w:name="_Toc392225591"/>
      <w:r>
        <w:rPr>
          <w:rFonts w:hint="default" w:ascii="Times New Roman" w:hAnsi="Times New Roman" w:cs="Times New Roman"/>
          <w:color w:val="000000" w:themeColor="text1"/>
          <w:kern w:val="0"/>
          <w:szCs w:val="32"/>
          <w14:textFill>
            <w14:solidFill>
              <w14:schemeClr w14:val="tx1"/>
            </w14:solidFill>
          </w14:textFill>
        </w:rPr>
        <w:t>（1）《中华人民共和国气象法》；</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（2）《中华人民共和国城乡规划法》；</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（3）《中华人民共和国土地管理法》；</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（4）《气象设施和气象探测环境保护条例》（中华人民共和国国务院令第623号）；</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（5）《宁夏回族自治区气象设施和气象探测环境保护办法》；</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（6）《城市规划编制办法实施细则》（建设部文件）；</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（7）《关于加强气象探测环境保护工作的通知》（中国气象局和建设部联合发文）；</w:t>
      </w:r>
    </w:p>
    <w:p>
      <w:pPr>
        <w:keepNext w:val="0"/>
        <w:keepLines w:val="0"/>
        <w:pageBreakBefore w:val="0"/>
        <w:widowControl/>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（8）《中卫市国土空间总体规划（2021-2035年）》。</w:t>
      </w:r>
    </w:p>
    <w:p>
      <w:pPr>
        <w:keepNext w:val="0"/>
        <w:keepLines w:val="0"/>
        <w:pageBreakBefore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b w:val="0"/>
          <w:bCs/>
          <w:color w:val="000000" w:themeColor="text1"/>
          <w:szCs w:val="32"/>
          <w14:textFill>
            <w14:solidFill>
              <w14:schemeClr w14:val="tx1"/>
            </w14:solidFill>
          </w14:textFill>
        </w:rPr>
      </w:pPr>
      <w:r>
        <w:rPr>
          <w:rFonts w:hint="default" w:ascii="Times New Roman" w:hAnsi="Times New Roman" w:eastAsia="黑体" w:cs="Times New Roman"/>
          <w:b w:val="0"/>
          <w:bCs/>
          <w:color w:val="000000" w:themeColor="text1"/>
          <w:szCs w:val="32"/>
          <w14:textFill>
            <w14:solidFill>
              <w14:schemeClr w14:val="tx1"/>
            </w14:solidFill>
          </w14:textFill>
        </w:rPr>
        <w:t>第三章</w:t>
      </w:r>
      <w:bookmarkEnd w:id="13"/>
      <w:bookmarkEnd w:id="14"/>
      <w:r>
        <w:rPr>
          <w:rFonts w:hint="default" w:ascii="Times New Roman" w:hAnsi="Times New Roman" w:eastAsia="黑体" w:cs="Times New Roman"/>
          <w:b w:val="0"/>
          <w:bCs/>
          <w:color w:val="000000" w:themeColor="text1"/>
          <w:szCs w:val="32"/>
          <w14:textFill>
            <w14:solidFill>
              <w14:schemeClr w14:val="tx1"/>
            </w14:solidFill>
          </w14:textFill>
        </w:rPr>
        <w:t>　</w:t>
      </w:r>
      <w:bookmarkEnd w:id="15"/>
      <w:r>
        <w:rPr>
          <w:rFonts w:hint="default" w:ascii="Times New Roman" w:hAnsi="Times New Roman" w:eastAsia="黑体" w:cs="Times New Roman"/>
          <w:b w:val="0"/>
          <w:bCs/>
          <w:color w:val="000000" w:themeColor="text1"/>
          <w:szCs w:val="32"/>
          <w14:textFill>
            <w14:solidFill>
              <w14:schemeClr w14:val="tx1"/>
            </w14:solidFill>
          </w14:textFill>
        </w:rPr>
        <w:t>兴仁国家基本气象站现状</w:t>
      </w:r>
    </w:p>
    <w:p>
      <w:pPr>
        <w:keepNext w:val="0"/>
        <w:keepLines w:val="0"/>
        <w:pageBreakBefore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楷体_GB2312" w:cs="Times New Roman"/>
          <w:b/>
          <w:bCs/>
          <w:color w:val="000000" w:themeColor="text1"/>
          <w:szCs w:val="32"/>
          <w14:textFill>
            <w14:solidFill>
              <w14:schemeClr w14:val="tx1"/>
            </w14:solidFill>
          </w14:textFill>
        </w:rPr>
      </w:pPr>
      <w:bookmarkStart w:id="16" w:name="_Toc392225592"/>
      <w:bookmarkStart w:id="17" w:name="_Toc372808346"/>
      <w:bookmarkStart w:id="18" w:name="_Toc345073029"/>
    </w:p>
    <w:p>
      <w:pPr>
        <w:keepNext w:val="0"/>
        <w:keepLines w:val="0"/>
        <w:pageBreakBefore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3.1</w:t>
      </w:r>
      <w:bookmarkEnd w:id="16"/>
      <w:bookmarkEnd w:id="17"/>
      <w:bookmarkEnd w:id="18"/>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基本情况</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兴仁国家基本气象站始建于1957年12月，区站号为53707，现位于东经105°14′50″，北纬36°56′18″，海拔为1697.9米。被中国气象局于2020年认定为百年气象站（六十年认定）。截</w:t>
      </w:r>
      <w:r>
        <w:rPr>
          <w:rFonts w:hint="default" w:ascii="Times New Roman" w:hAnsi="Times New Roman" w:cs="Times New Roman"/>
          <w:color w:val="000000" w:themeColor="text1"/>
          <w:szCs w:val="32"/>
          <w:lang w:eastAsia="zh-CN"/>
          <w14:textFill>
            <w14:solidFill>
              <w14:schemeClr w14:val="tx1"/>
            </w14:solidFill>
          </w14:textFill>
        </w:rPr>
        <w:t>至</w:t>
      </w:r>
      <w:r>
        <w:rPr>
          <w:rFonts w:hint="default" w:ascii="Times New Roman" w:hAnsi="Times New Roman" w:eastAsia="仿宋_GB2312" w:cs="Times New Roman"/>
          <w:color w:val="000000" w:themeColor="text1"/>
          <w:szCs w:val="32"/>
          <w14:textFill>
            <w14:solidFill>
              <w14:schemeClr w14:val="tx1"/>
            </w14:solidFill>
          </w14:textFill>
        </w:rPr>
        <w:t>目前已具有近65年气象观测史。2023年1月1日，兴仁气象站被中国气象局由原国家（常规）气象观测站升级为国家基本气象站。</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kern w:val="0"/>
          <w:szCs w:val="32"/>
          <w14:textFill>
            <w14:solidFill>
              <w14:schemeClr w14:val="tx1"/>
            </w14:solidFill>
          </w14:textFill>
        </w:rPr>
      </w:pPr>
      <w:bookmarkStart w:id="19" w:name="_Toc372808348"/>
      <w:bookmarkStart w:id="20" w:name="_Toc392225593"/>
      <w:r>
        <w:rPr>
          <w:rFonts w:hint="default" w:ascii="Times New Roman" w:hAnsi="Times New Roman" w:eastAsia="仿宋_GB2312" w:cs="Times New Roman"/>
          <w:color w:val="000000" w:themeColor="text1"/>
          <w:szCs w:val="32"/>
          <w14:textFill>
            <w14:solidFill>
              <w14:schemeClr w14:val="tx1"/>
            </w14:solidFill>
          </w14:textFill>
        </w:rPr>
        <w:t>兴仁国家基本气象站主要承担地面、农气等任务。地面气象观测每日进行8、11、14、17、20时五次定时观测，观测项目有</w:t>
      </w:r>
      <w:r>
        <w:rPr>
          <w:rFonts w:hint="default" w:ascii="Times New Roman" w:hAnsi="Times New Roman" w:eastAsia="仿宋_GB2312" w:cs="Times New Roman"/>
          <w:color w:val="000000" w:themeColor="text1"/>
          <w:kern w:val="0"/>
          <w:szCs w:val="32"/>
          <w14:textFill>
            <w14:solidFill>
              <w14:schemeClr w14:val="tx1"/>
            </w14:solidFill>
          </w14:textFill>
        </w:rPr>
        <w:t>能见度、天气现象、气压、空气的温度和湿度、风向和风速、降水、日照、蒸发、地温、雪深、冻土等；农业气象观测有本站固定地段土壤水分测定和硒砂瓜地土壤水分测定，在土壤解冻和硒砂瓜始播时每月逢8进行观测。</w:t>
      </w:r>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3.2 兴仁国家基本气象站探测环境现状分析</w:t>
      </w:r>
      <w:bookmarkEnd w:id="19"/>
      <w:bookmarkEnd w:id="20"/>
    </w:p>
    <w:p>
      <w:pPr>
        <w:keepNext w:val="0"/>
        <w:keepLines w:val="0"/>
        <w:pageBreakBefore w:val="0"/>
        <w:kinsoku/>
        <w:wordWrap/>
        <w:overflowPunct/>
        <w:topLinePunct w:val="0"/>
        <w:autoSpaceDE/>
        <w:autoSpaceDN/>
        <w:bidi w:val="0"/>
        <w:adjustRightInd w:val="0"/>
        <w:snapToGrid w:val="0"/>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兴仁国家基本气象站位于沙坡头区</w:t>
      </w:r>
      <w:r>
        <w:rPr>
          <w:rFonts w:hint="default" w:ascii="Times New Roman" w:hAnsi="Times New Roman" w:eastAsia="仿宋_GB2312" w:cs="Times New Roman"/>
          <w:color w:val="000000" w:themeColor="text1"/>
          <w:kern w:val="0"/>
          <w:szCs w:val="32"/>
          <w14:textFill>
            <w14:solidFill>
              <w14:schemeClr w14:val="tx1"/>
            </w14:solidFill>
          </w14:textFill>
        </w:rPr>
        <w:t>兴仁镇西街兴仁第六自然村</w:t>
      </w:r>
      <w:r>
        <w:rPr>
          <w:rFonts w:hint="default" w:ascii="Times New Roman" w:hAnsi="Times New Roman" w:eastAsia="仿宋_GB2312" w:cs="Times New Roman"/>
          <w:color w:val="000000" w:themeColor="text1"/>
          <w:szCs w:val="32"/>
          <w14:textFill>
            <w14:solidFill>
              <w14:schemeClr w14:val="tx1"/>
            </w14:solidFill>
          </w14:textFill>
        </w:rPr>
        <w:t>，现位于东经105°14′50″，北纬36°56′18″，海拔为1697.9米地势平坦，无遮挡物。东</w:t>
      </w:r>
      <w:r>
        <w:rPr>
          <w:rFonts w:hint="default" w:ascii="Times New Roman" w:hAnsi="Times New Roman" w:cs="Times New Roman"/>
          <w:color w:val="000000" w:themeColor="text1"/>
          <w:szCs w:val="32"/>
          <w:lang w:eastAsia="zh-CN"/>
          <w14:textFill>
            <w14:solidFill>
              <w14:schemeClr w14:val="tx1"/>
            </w14:solidFill>
          </w14:textFill>
        </w:rPr>
        <w:t>侧</w:t>
      </w:r>
      <w:r>
        <w:rPr>
          <w:rFonts w:hint="default" w:ascii="Times New Roman" w:hAnsi="Times New Roman" w:eastAsia="仿宋_GB2312" w:cs="Times New Roman"/>
          <w:color w:val="000000" w:themeColor="text1"/>
          <w:szCs w:val="32"/>
          <w14:textFill>
            <w14:solidFill>
              <w14:schemeClr w14:val="tx1"/>
            </w14:solidFill>
          </w14:textFill>
        </w:rPr>
        <w:t>距公路55米；东南方距兴仁中学教师周转房（高10.2</w:t>
      </w:r>
      <w:r>
        <w:rPr>
          <w:rFonts w:hint="default" w:ascii="Times New Roman" w:hAnsi="Times New Roman" w:cs="Times New Roman"/>
          <w:color w:val="000000" w:themeColor="text1"/>
          <w:szCs w:val="32"/>
          <w:lang w:eastAsia="zh-CN"/>
          <w14:textFill>
            <w14:solidFill>
              <w14:schemeClr w14:val="tx1"/>
            </w14:solidFill>
          </w14:textFill>
        </w:rPr>
        <w:t>米</w:t>
      </w:r>
      <w:r>
        <w:rPr>
          <w:rFonts w:hint="default" w:ascii="Times New Roman" w:hAnsi="Times New Roman" w:eastAsia="仿宋_GB2312" w:cs="Times New Roman"/>
          <w:color w:val="000000" w:themeColor="text1"/>
          <w:szCs w:val="32"/>
          <w14:textFill>
            <w14:solidFill>
              <w14:schemeClr w14:val="tx1"/>
            </w14:solidFill>
          </w14:textFill>
        </w:rPr>
        <w:t>）87米；南方、西南方距民房（高3米）60米；西方为农田；北方距民房（高3米）120米；东北方距民房（高3米）150米。距东南方楼房1000米。占地面积15亩，土壤类型为砂壤土。站址四周开阔</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气流畅通，四周障碍物符合国家基本气象站探测环境保护的相关要求，气象观测资料较好代表本地较大区域的气象要素特点</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完全符合探测环境要求</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2021年探测环境评估90.9分。</w:t>
      </w:r>
    </w:p>
    <w:p>
      <w:pPr>
        <w:keepNext w:val="0"/>
        <w:keepLines w:val="0"/>
        <w:pageBreakBefore w:val="0"/>
        <w:kinsoku/>
        <w:wordWrap/>
        <w:overflowPunct/>
        <w:topLinePunct w:val="0"/>
        <w:autoSpaceDE/>
        <w:autoSpaceDN/>
        <w:bidi w:val="0"/>
        <w:spacing w:line="500" w:lineRule="exact"/>
        <w:ind w:firstLine="628" w:firstLineChars="200"/>
        <w:textAlignment w:val="auto"/>
        <w:rPr>
          <w:rFonts w:hint="default" w:ascii="Times New Roman" w:hAnsi="Times New Roman" w:cs="Times New Roman"/>
        </w:rPr>
      </w:pPr>
      <w:r>
        <w:rPr>
          <w:rFonts w:hint="default" w:ascii="Times New Roman" w:hAnsi="Times New Roman" w:eastAsia="仿宋_GB2312" w:cs="Times New Roman"/>
          <w:color w:val="000000" w:themeColor="text1"/>
          <w:szCs w:val="32"/>
          <w14:textFill>
            <w14:solidFill>
              <w14:schemeClr w14:val="tx1"/>
            </w14:solidFill>
          </w14:textFill>
        </w:rPr>
        <w:t>兴仁国家基本气象站周边现有建筑物、构筑物、植物的仰角和全景具体情况见图3</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1、3</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2。</w:t>
      </w:r>
    </w:p>
    <w:p>
      <w:pPr>
        <w:pStyle w:val="20"/>
        <w:keepNext w:val="0"/>
        <w:keepLines w:val="0"/>
        <w:pageBreakBefore w:val="0"/>
        <w:kinsoku/>
        <w:wordWrap/>
        <w:overflowPunct/>
        <w:topLinePunct w:val="0"/>
        <w:autoSpaceDE/>
        <w:autoSpaceDN/>
        <w:bidi w:val="0"/>
        <w:spacing w:line="576" w:lineRule="exact"/>
        <w:ind w:left="0" w:leftChars="0" w:firstLine="0" w:firstLineChars="0"/>
        <w:jc w:val="center"/>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bookmarkStart w:id="21" w:name="_Toc392225594"/>
      <w:r>
        <w:rPr>
          <w:rFonts w:hint="default" w:ascii="Times New Roman" w:hAnsi="Times New Roman" w:eastAsia="仿宋_GB2312" w:cs="Times New Roman"/>
          <w:b w:val="0"/>
          <w:bCs w:val="0"/>
          <w:color w:val="000000" w:themeColor="text1"/>
          <w:sz w:val="32"/>
          <w:szCs w:val="32"/>
          <w:lang w:val="en-US"/>
          <w14:textFill>
            <w14:solidFill>
              <w14:schemeClr w14:val="tx1"/>
            </w14:solidFill>
          </w14:textFill>
        </w:rPr>
        <w:drawing>
          <wp:anchor distT="0" distB="0" distL="0" distR="0" simplePos="0" relativeHeight="251660288" behindDoc="0" locked="0" layoutInCell="1" allowOverlap="1">
            <wp:simplePos x="0" y="0"/>
            <wp:positionH relativeFrom="column">
              <wp:posOffset>341630</wp:posOffset>
            </wp:positionH>
            <wp:positionV relativeFrom="page">
              <wp:posOffset>3702050</wp:posOffset>
            </wp:positionV>
            <wp:extent cx="4908550" cy="2299335"/>
            <wp:effectExtent l="0" t="0" r="6350" b="5715"/>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eastAsia="仿宋_GB2312" w:cs="Times New Roman"/>
          <w:b w:val="0"/>
          <w:bCs w:val="0"/>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图3</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1 观测场四周可视范围内遮蔽物仰角图</w:t>
      </w:r>
    </w:p>
    <w:p>
      <w:pPr>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仿宋_GB2312" w:cs="Times New Roman"/>
          <w:b w:val="0"/>
          <w:bCs w:val="0"/>
          <w:color w:val="000000" w:themeColor="text1"/>
          <w:kern w:val="2"/>
          <w:sz w:val="32"/>
          <w:szCs w:val="32"/>
          <w:lang w:val="zh-CN"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32"/>
          <w:szCs w:val="32"/>
          <w:lang w:val="zh-CN" w:eastAsia="zh-CN" w:bidi="ar-SA"/>
          <w14:textFill>
            <w14:solidFill>
              <w14:schemeClr w14:val="tx1"/>
            </w14:solidFill>
          </w14:textFill>
        </w:rPr>
        <w:drawing>
          <wp:anchor distT="0" distB="0" distL="0" distR="0" simplePos="0" relativeHeight="251661312" behindDoc="0" locked="0" layoutInCell="1" allowOverlap="1">
            <wp:simplePos x="0" y="0"/>
            <wp:positionH relativeFrom="column">
              <wp:posOffset>313055</wp:posOffset>
            </wp:positionH>
            <wp:positionV relativeFrom="paragraph">
              <wp:posOffset>160020</wp:posOffset>
            </wp:positionV>
            <wp:extent cx="4872990" cy="2381250"/>
            <wp:effectExtent l="0" t="0" r="3810" b="0"/>
            <wp:wrapTopAndBottom/>
            <wp:docPr id="2" name="图片 1" descr="兴仁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兴仁00.jpg"/>
                    <pic:cNvPicPr>
                      <a:picLocks noChangeAspect="1"/>
                    </pic:cNvPicPr>
                  </pic:nvPicPr>
                  <pic:blipFill>
                    <a:blip r:embed="rId9" cstate="print"/>
                    <a:stretch>
                      <a:fillRect/>
                    </a:stretch>
                  </pic:blipFill>
                  <pic:spPr>
                    <a:xfrm>
                      <a:off x="0" y="0"/>
                      <a:ext cx="4872990" cy="2381250"/>
                    </a:xfrm>
                    <a:prstGeom prst="rect">
                      <a:avLst/>
                    </a:prstGeom>
                  </pic:spPr>
                </pic:pic>
              </a:graphicData>
            </a:graphic>
          </wp:anchor>
        </w:drawing>
      </w:r>
      <w:r>
        <w:rPr>
          <w:rFonts w:hint="default" w:ascii="Times New Roman" w:hAnsi="Times New Roman" w:eastAsia="仿宋_GB2312" w:cs="Times New Roman"/>
          <w:b w:val="0"/>
          <w:bCs w:val="0"/>
          <w:color w:val="000000" w:themeColor="text1"/>
          <w:kern w:val="2"/>
          <w:sz w:val="32"/>
          <w:szCs w:val="32"/>
          <w:lang w:val="zh-CN" w:eastAsia="zh-CN" w:bidi="ar-SA"/>
          <w14:textFill>
            <w14:solidFill>
              <w14:schemeClr w14:val="tx1"/>
            </w14:solidFill>
          </w14:textFill>
        </w:rPr>
        <w:t>图3</w:t>
      </w:r>
      <w:r>
        <w:rPr>
          <w:rFonts w:hint="default" w:ascii="Times New Roman" w:hAnsi="Times New Roman" w:cs="Times New Roman"/>
          <w:b w:val="0"/>
          <w:bCs w:val="0"/>
          <w:color w:val="000000" w:themeColor="text1"/>
          <w:kern w:val="2"/>
          <w:sz w:val="32"/>
          <w:szCs w:val="32"/>
          <w:lang w:val="zh-CN"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2"/>
          <w:sz w:val="32"/>
          <w:szCs w:val="32"/>
          <w:lang w:val="zh-CN" w:eastAsia="zh-CN" w:bidi="ar-SA"/>
          <w14:textFill>
            <w14:solidFill>
              <w14:schemeClr w14:val="tx1"/>
            </w14:solidFill>
          </w14:textFill>
        </w:rPr>
        <w:t>2  观测场四周全景图</w:t>
      </w:r>
      <w:bookmarkEnd w:id="21"/>
    </w:p>
    <w:p>
      <w:pPr>
        <w:keepNext w:val="0"/>
        <w:keepLines w:val="0"/>
        <w:pageBreakBefore w:val="0"/>
        <w:kinsoku/>
        <w:wordWrap/>
        <w:overflowPunct/>
        <w:topLinePunct w:val="0"/>
        <w:autoSpaceDE/>
        <w:autoSpaceDN/>
        <w:bidi w:val="0"/>
        <w:spacing w:line="54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3.3 兴仁国家基本气象站周边规划建设情况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兴仁国家基本气象站位于沙坡头区</w:t>
      </w:r>
      <w:r>
        <w:rPr>
          <w:rFonts w:hint="default" w:ascii="Times New Roman" w:hAnsi="Times New Roman" w:cs="Times New Roman"/>
          <w:color w:val="000000" w:themeColor="text1"/>
          <w:kern w:val="0"/>
          <w:szCs w:val="32"/>
          <w14:textFill>
            <w14:solidFill>
              <w14:schemeClr w14:val="tx1"/>
            </w14:solidFill>
          </w14:textFill>
        </w:rPr>
        <w:t>兴仁镇西街兴仁第六自然村</w:t>
      </w:r>
      <w:r>
        <w:rPr>
          <w:rFonts w:hint="default" w:ascii="Times New Roman" w:hAnsi="Times New Roman" w:cs="Times New Roman"/>
          <w:color w:val="000000" w:themeColor="text1"/>
          <w:szCs w:val="32"/>
          <w14:textFill>
            <w14:solidFill>
              <w14:schemeClr w14:val="tx1"/>
            </w14:solidFill>
          </w14:textFill>
        </w:rPr>
        <w:t>，占地面积15亩，地势平坦，无遮挡物。兴仁站将不定期与兴仁镇、沙坡头建设部门联系，及时了解周边拟建设情况，积极主动掌握最新城建规划动态、改建情况，以便及早采取措施，杜绝危害探测环境事件的发生。</w:t>
      </w:r>
    </w:p>
    <w:p>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黑体" w:cs="Times New Roman"/>
          <w:b w:val="0"/>
          <w:bCs/>
          <w:color w:val="000000" w:themeColor="text1"/>
          <w:szCs w:val="32"/>
          <w14:textFill>
            <w14:solidFill>
              <w14:schemeClr w14:val="tx1"/>
            </w14:solidFill>
          </w14:textFill>
        </w:rPr>
      </w:pPr>
      <w:r>
        <w:rPr>
          <w:rFonts w:hint="default" w:ascii="Times New Roman" w:hAnsi="Times New Roman" w:eastAsia="黑体" w:cs="Times New Roman"/>
          <w:b w:val="0"/>
          <w:bCs/>
          <w:color w:val="000000" w:themeColor="text1"/>
          <w:szCs w:val="32"/>
          <w14:textFill>
            <w14:solidFill>
              <w14:schemeClr w14:val="tx1"/>
            </w14:solidFill>
          </w14:textFill>
        </w:rPr>
        <w:t>第四章　兴仁国家基本气象站探测环境保护规划内容</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楷体_GB2312" w:cs="Times New Roman"/>
          <w:b/>
          <w:bCs/>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4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4.1 规划目标和主要任务</w:t>
      </w:r>
    </w:p>
    <w:p>
      <w:pPr>
        <w:keepNext w:val="0"/>
        <w:keepLines w:val="0"/>
        <w:pageBreakBefore w:val="0"/>
        <w:widowControl w:val="0"/>
        <w:kinsoku/>
        <w:wordWrap/>
        <w:overflowPunct/>
        <w:topLinePunct w:val="0"/>
        <w:autoSpaceDE/>
        <w:autoSpaceDN/>
        <w:bidi w:val="0"/>
        <w:spacing w:line="56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4.1.1规划年限</w:t>
      </w:r>
    </w:p>
    <w:p>
      <w:pPr>
        <w:keepNext w:val="0"/>
        <w:keepLines w:val="0"/>
        <w:pageBreakBefore w:val="0"/>
        <w:widowControl w:val="0"/>
        <w:kinsoku/>
        <w:wordWrap/>
        <w:overflowPunct/>
        <w:topLinePunct w:val="0"/>
        <w:autoSpaceDE/>
        <w:autoSpaceDN/>
        <w:bidi w:val="0"/>
        <w:spacing w:line="56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本次专项规划年限为2023—2035年。</w:t>
      </w:r>
    </w:p>
    <w:p>
      <w:pPr>
        <w:keepNext w:val="0"/>
        <w:keepLines w:val="0"/>
        <w:pageBreakBefore w:val="0"/>
        <w:widowControl w:val="0"/>
        <w:kinsoku/>
        <w:wordWrap/>
        <w:overflowPunct/>
        <w:topLinePunct w:val="0"/>
        <w:autoSpaceDE/>
        <w:autoSpaceDN/>
        <w:bidi w:val="0"/>
        <w:spacing w:line="56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4.1.2规划范围</w:t>
      </w:r>
    </w:p>
    <w:p>
      <w:pPr>
        <w:keepNext w:val="0"/>
        <w:keepLines w:val="0"/>
        <w:pageBreakBefore w:val="0"/>
        <w:widowControl w:val="0"/>
        <w:kinsoku/>
        <w:wordWrap/>
        <w:overflowPunct/>
        <w:topLinePunct w:val="0"/>
        <w:autoSpaceDE/>
        <w:autoSpaceDN/>
        <w:bidi w:val="0"/>
        <w:adjustRightInd/>
        <w:snapToGrid/>
        <w:spacing w:line="54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以兴仁国家基本气象站观测场为中心，半径1000米范围内的用地。</w:t>
      </w:r>
    </w:p>
    <w:p>
      <w:pPr>
        <w:keepNext w:val="0"/>
        <w:keepLines w:val="0"/>
        <w:pageBreakBefore w:val="0"/>
        <w:widowControl w:val="0"/>
        <w:kinsoku/>
        <w:wordWrap/>
        <w:overflowPunct/>
        <w:topLinePunct w:val="0"/>
        <w:autoSpaceDE/>
        <w:autoSpaceDN/>
        <w:bidi w:val="0"/>
        <w:adjustRightInd/>
        <w:snapToGrid/>
        <w:spacing w:line="54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4.1.3规划目标</w:t>
      </w:r>
    </w:p>
    <w:p>
      <w:pPr>
        <w:keepNext w:val="0"/>
        <w:keepLines w:val="0"/>
        <w:pageBreakBefore w:val="0"/>
        <w:widowControl w:val="0"/>
        <w:kinsoku/>
        <w:wordWrap/>
        <w:overflowPunct/>
        <w:topLinePunct w:val="0"/>
        <w:autoSpaceDE/>
        <w:autoSpaceDN/>
        <w:bidi w:val="0"/>
        <w:adjustRightInd/>
        <w:snapToGrid/>
        <w:spacing w:line="54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规划编制完成以后，以本规划为依据，使规划范围内具有良好的气象探测环境，保证气象探测工作的顺利进行，确保获取的气象探测信息具有代表性、准确性和比较性，提高气候变化的监测能力、气象预报准确率和气象服务水平，为国民经济和社会发展提供可靠保障。</w:t>
      </w:r>
    </w:p>
    <w:p>
      <w:pPr>
        <w:keepNext w:val="0"/>
        <w:keepLines w:val="0"/>
        <w:pageBreakBefore w:val="0"/>
        <w:widowControl w:val="0"/>
        <w:kinsoku/>
        <w:wordWrap/>
        <w:overflowPunct/>
        <w:topLinePunct w:val="0"/>
        <w:autoSpaceDE/>
        <w:autoSpaceDN/>
        <w:bidi w:val="0"/>
        <w:adjustRightInd/>
        <w:snapToGrid/>
        <w:spacing w:line="54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4.1.4主要任务</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（1）根据兴仁国家基本气象站的台站类别和承担的综合气象探测任务及布局特点，明确气象探测环境保护标准和保护范围；</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（2）界定清晰的兴仁国家基本气象站探测环境保护和控制范围，实现限建落地；对气象探测环境保护范围内的建设活动和行为提出科学、严格的控制和保护要求；</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（3）提出气象探测环境保护专项规划实施的保障措施。</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楷体_GB2312" w:cs="Times New Roman"/>
          <w:b/>
          <w:bCs w:val="0"/>
          <w:color w:val="000000" w:themeColor="text1"/>
          <w:kern w:val="0"/>
          <w:sz w:val="32"/>
          <w:szCs w:val="32"/>
          <w:lang w:val="en-US" w:eastAsia="zh-CN" w:bidi="ar-SA"/>
          <w14:textFill>
            <w14:solidFill>
              <w14:schemeClr w14:val="tx1"/>
            </w14:solidFill>
          </w14:textFill>
        </w:rPr>
        <w:t>4.2 兴仁国家基本气象站气象探测环境保护范围和标准</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 xml:space="preserve">4.2.1气象探测环境的定义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气象探测环境是指为避开各种干扰保证气象探测设施准确获得气象探测信息所必需的最小距离构成的环境空间。</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 xml:space="preserve">4.2.2气象探测环境的总体要求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气象探测环境要求长期稳定，具有良好的区域代表性。</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（1）禁止实施下列危害气象设施的行为：</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①侵占、损毁、擅自移动气象设施或者侵占气象设施用地；</w:t>
      </w:r>
    </w:p>
    <w:p>
      <w:pPr>
        <w:keepNext w:val="0"/>
        <w:keepLines w:val="0"/>
        <w:pageBreakBefore w:val="0"/>
        <w:widowControl w:val="0"/>
        <w:kinsoku/>
        <w:wordWrap/>
        <w:overflowPunct/>
        <w:topLinePunct w:val="0"/>
        <w:autoSpaceDE/>
        <w:autoSpaceDN/>
        <w:bidi w:val="0"/>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②在气象设施周边进行危及气象设施安全的爆破、钻探、采石、挖砂、取土等活动；</w:t>
      </w:r>
    </w:p>
    <w:p>
      <w:pPr>
        <w:keepNext w:val="0"/>
        <w:keepLines w:val="0"/>
        <w:pageBreakBefore w:val="0"/>
        <w:widowControl w:val="0"/>
        <w:kinsoku/>
        <w:wordWrap/>
        <w:overflowPunct/>
        <w:topLinePunct w:val="0"/>
        <w:autoSpaceDE/>
        <w:autoSpaceDN/>
        <w:bidi w:val="0"/>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③挤占、干扰依法设立的气象无线电台（站）、频率；</w:t>
      </w:r>
    </w:p>
    <w:p>
      <w:pPr>
        <w:keepNext w:val="0"/>
        <w:keepLines w:val="0"/>
        <w:pageBreakBefore w:val="0"/>
        <w:widowControl w:val="0"/>
        <w:kinsoku/>
        <w:wordWrap/>
        <w:overflowPunct/>
        <w:topLinePunct w:val="0"/>
        <w:autoSpaceDE/>
        <w:autoSpaceDN/>
        <w:bidi w:val="0"/>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④设置影响大型气象专用技术装备使用功能的干扰源；</w:t>
      </w:r>
    </w:p>
    <w:p>
      <w:pPr>
        <w:keepNext w:val="0"/>
        <w:keepLines w:val="0"/>
        <w:pageBreakBefore w:val="0"/>
        <w:widowControl w:val="0"/>
        <w:kinsoku/>
        <w:wordWrap/>
        <w:overflowPunct/>
        <w:topLinePunct w:val="0"/>
        <w:autoSpaceDE/>
        <w:autoSpaceDN/>
        <w:bidi w:val="0"/>
        <w:spacing w:line="50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⑤法律、行政法规和国务院气象主管机构规定的其他危害气象设施的行为。</w:t>
      </w:r>
    </w:p>
    <w:p>
      <w:pPr>
        <w:keepNext w:val="0"/>
        <w:keepLines w:val="0"/>
        <w:pageBreakBefore w:val="0"/>
        <w:widowControl w:val="0"/>
        <w:numPr>
          <w:ilvl w:val="0"/>
          <w:numId w:val="1"/>
        </w:numPr>
        <w:kinsoku/>
        <w:wordWrap/>
        <w:overflowPunct/>
        <w:topLinePunct w:val="0"/>
        <w:autoSpaceDE/>
        <w:autoSpaceDN/>
        <w:bidi w:val="0"/>
        <w:adjustRightInd w:val="0"/>
        <w:snapToGrid w:val="0"/>
        <w:spacing w:line="500" w:lineRule="exact"/>
        <w:ind w:firstLine="628" w:firstLineChars="200"/>
        <w:jc w:val="left"/>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禁止实施下列危害国家气象观测站探测环境的行为：</w:t>
      </w:r>
    </w:p>
    <w:p>
      <w:pPr>
        <w:keepNext w:val="0"/>
        <w:keepLines w:val="0"/>
        <w:pageBreakBefore w:val="0"/>
        <w:widowControl w:val="0"/>
        <w:kinsoku/>
        <w:wordWrap/>
        <w:overflowPunct/>
        <w:topLinePunct w:val="0"/>
        <w:autoSpaceDE/>
        <w:autoSpaceDN/>
        <w:bidi w:val="0"/>
        <w:spacing w:line="500" w:lineRule="exact"/>
        <w:ind w:firstLine="628" w:firstLineChars="200"/>
        <w:jc w:val="left"/>
        <w:textAlignment w:val="auto"/>
        <w:rPr>
          <w:rFonts w:hint="default" w:ascii="Times New Roman" w:hAnsi="Times New Roman" w:eastAsia="仿宋_GB2312" w:cs="Times New Roman"/>
          <w:bCs/>
          <w:color w:val="000000" w:themeColor="text1"/>
          <w:szCs w:val="32"/>
          <w14:textFill>
            <w14:solidFill>
              <w14:schemeClr w14:val="tx1"/>
            </w14:solidFill>
          </w14:textFill>
        </w:rPr>
      </w:pPr>
      <w:r>
        <w:rPr>
          <w:rFonts w:hint="default" w:ascii="Times New Roman" w:hAnsi="Times New Roman" w:eastAsia="仿宋_GB2312" w:cs="Times New Roman"/>
          <w:bCs/>
          <w:color w:val="000000" w:themeColor="text1"/>
          <w:szCs w:val="32"/>
          <w14:textFill>
            <w14:solidFill>
              <w14:schemeClr w14:val="tx1"/>
            </w14:solidFill>
          </w14:textFill>
        </w:rPr>
        <w:t>①在观测场周边1000米探测环境保护范围内禁止修建高度超过距观测场距离1/10的建筑物、构筑物；</w:t>
      </w:r>
    </w:p>
    <w:p>
      <w:pPr>
        <w:keepNext w:val="0"/>
        <w:keepLines w:val="0"/>
        <w:pageBreakBefore w:val="0"/>
        <w:widowControl w:val="0"/>
        <w:kinsoku/>
        <w:wordWrap/>
        <w:overflowPunct/>
        <w:topLinePunct w:val="0"/>
        <w:autoSpaceDE/>
        <w:autoSpaceDN/>
        <w:bidi w:val="0"/>
        <w:spacing w:line="500" w:lineRule="exact"/>
        <w:ind w:firstLine="628" w:firstLineChars="200"/>
        <w:jc w:val="left"/>
        <w:textAlignment w:val="auto"/>
        <w:rPr>
          <w:rFonts w:hint="default" w:ascii="Times New Roman" w:hAnsi="Times New Roman" w:eastAsia="仿宋_GB2312" w:cs="Times New Roman"/>
          <w:bCs/>
          <w:color w:val="000000" w:themeColor="text1"/>
          <w:szCs w:val="32"/>
          <w14:textFill>
            <w14:solidFill>
              <w14:schemeClr w14:val="tx1"/>
            </w14:solidFill>
          </w14:textFill>
        </w:rPr>
      </w:pPr>
      <w:r>
        <w:rPr>
          <w:rFonts w:hint="default" w:ascii="Times New Roman" w:hAnsi="Times New Roman" w:eastAsia="仿宋_GB2312" w:cs="Times New Roman"/>
          <w:bCs/>
          <w:color w:val="000000" w:themeColor="text1"/>
          <w:szCs w:val="32"/>
          <w14:textFill>
            <w14:solidFill>
              <w14:schemeClr w14:val="tx1"/>
            </w14:solidFill>
          </w14:textFill>
        </w:rPr>
        <w:t>②在观测场周边500米范围内设置垃圾场、排污口等干扰源；</w:t>
      </w: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jc w:val="left"/>
        <w:textAlignment w:val="auto"/>
        <w:rPr>
          <w:rFonts w:hint="default" w:ascii="Times New Roman" w:hAnsi="Times New Roman" w:eastAsia="仿宋_GB2312" w:cs="Times New Roman"/>
          <w:bCs/>
          <w:color w:val="000000" w:themeColor="text1"/>
          <w:szCs w:val="32"/>
          <w14:textFill>
            <w14:solidFill>
              <w14:schemeClr w14:val="tx1"/>
            </w14:solidFill>
          </w14:textFill>
        </w:rPr>
      </w:pPr>
      <w:r>
        <w:rPr>
          <w:rFonts w:hint="default" w:ascii="Times New Roman" w:hAnsi="Times New Roman" w:eastAsia="仿宋_GB2312" w:cs="Times New Roman"/>
          <w:bCs/>
          <w:color w:val="000000" w:themeColor="text1"/>
          <w:szCs w:val="32"/>
          <w14:textFill>
            <w14:solidFill>
              <w14:schemeClr w14:val="tx1"/>
            </w14:solidFill>
          </w14:textFill>
        </w:rPr>
        <w:t>③在观测场周边200米范围内修建铁路；</w:t>
      </w: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jc w:val="left"/>
        <w:textAlignment w:val="auto"/>
        <w:rPr>
          <w:rFonts w:hint="default" w:ascii="Times New Roman" w:hAnsi="Times New Roman" w:eastAsia="仿宋_GB2312" w:cs="Times New Roman"/>
          <w:bCs/>
          <w:color w:val="000000" w:themeColor="text1"/>
          <w:szCs w:val="32"/>
          <w14:textFill>
            <w14:solidFill>
              <w14:schemeClr w14:val="tx1"/>
            </w14:solidFill>
          </w14:textFill>
        </w:rPr>
      </w:pPr>
      <w:r>
        <w:rPr>
          <w:rFonts w:hint="default" w:ascii="Times New Roman" w:hAnsi="Times New Roman" w:eastAsia="仿宋_GB2312" w:cs="Times New Roman"/>
          <w:bCs/>
          <w:color w:val="000000" w:themeColor="text1"/>
          <w:szCs w:val="32"/>
          <w14:textFill>
            <w14:solidFill>
              <w14:schemeClr w14:val="tx1"/>
            </w14:solidFill>
          </w14:textFill>
        </w:rPr>
        <w:t>④在观测场周边100米范围内挖筑水塘等；</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eastAsia="仿宋_GB2312" w:cs="Times New Roman"/>
          <w:bCs/>
          <w:color w:val="000000" w:themeColor="text1"/>
          <w:szCs w:val="32"/>
          <w14:textFill>
            <w14:solidFill>
              <w14:schemeClr w14:val="tx1"/>
            </w14:solidFill>
          </w14:textFill>
        </w:rPr>
      </w:pPr>
      <w:r>
        <w:rPr>
          <w:rFonts w:hint="default" w:ascii="Times New Roman" w:hAnsi="Times New Roman" w:eastAsia="仿宋_GB2312" w:cs="Times New Roman"/>
          <w:bCs/>
          <w:color w:val="000000" w:themeColor="text1"/>
          <w:szCs w:val="32"/>
          <w14:textFill>
            <w14:solidFill>
              <w14:schemeClr w14:val="tx1"/>
            </w14:solidFill>
          </w14:textFill>
        </w:rPr>
        <w:t>⑤在观测场周边50米范围内修建公路、种植高度超过1米的树木和作物等。</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 xml:space="preserve">4.2.3气象探测环境保护范围和保护标准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（1）保护范围。根据《气象设施和气象探测环境保护条例》，结合兴仁镇的实际情况，确定以兴仁国家基本气象站为基准点，半径500米范围内为核心保护区，半径500—1000米范围为基本保护区。</w:t>
      </w:r>
    </w:p>
    <w:p>
      <w:pPr>
        <w:keepNext w:val="0"/>
        <w:keepLines w:val="0"/>
        <w:pageBreakBefore w:val="0"/>
        <w:kinsoku/>
        <w:wordWrap/>
        <w:overflowPunct/>
        <w:topLinePunct w:val="0"/>
        <w:autoSpaceDE/>
        <w:autoSpaceDN/>
        <w:bidi w:val="0"/>
        <w:spacing w:line="576" w:lineRule="exact"/>
        <w:jc w:val="center"/>
        <w:textAlignment w:val="auto"/>
        <w:rPr>
          <w:rFonts w:hint="default" w:ascii="Times New Roman" w:hAnsi="Times New Roman" w:eastAsia="方正小标宋_GBK" w:cs="Times New Roman"/>
          <w:color w:val="000000" w:themeColor="text1"/>
          <w:sz w:val="30"/>
          <w:szCs w:val="30"/>
          <w14:textFill>
            <w14:solidFill>
              <w14:schemeClr w14:val="tx1"/>
            </w14:solidFill>
          </w14:textFill>
        </w:rPr>
      </w:pPr>
      <w:r>
        <w:rPr>
          <w:rFonts w:hint="default" w:ascii="Times New Roman" w:hAnsi="Times New Roman" w:eastAsia="方正小标宋_GBK" w:cs="Times New Roman"/>
          <w:color w:val="000000" w:themeColor="text1"/>
          <w:sz w:val="30"/>
          <w:szCs w:val="30"/>
          <w14:textFill>
            <w14:solidFill>
              <w14:schemeClr w14:val="tx1"/>
            </w14:solidFill>
          </w14:textFill>
        </w:rPr>
        <w:t>表4-1</w:t>
      </w:r>
      <w:r>
        <w:rPr>
          <w:rFonts w:hint="default" w:ascii="Times New Roman" w:hAnsi="Times New Roman" w:eastAsia="方正小标宋_GBK" w:cs="Times New Roman"/>
          <w:color w:val="000000" w:themeColor="text1"/>
          <w:sz w:val="30"/>
          <w:szCs w:val="30"/>
          <w:lang w:val="en-US" w:eastAsia="zh-CN"/>
          <w14:textFill>
            <w14:solidFill>
              <w14:schemeClr w14:val="tx1"/>
            </w14:solidFill>
          </w14:textFill>
        </w:rPr>
        <w:t xml:space="preserve"> </w:t>
      </w:r>
      <w:r>
        <w:rPr>
          <w:rFonts w:hint="default" w:ascii="Times New Roman" w:hAnsi="Times New Roman" w:eastAsia="方正小标宋_GBK" w:cs="Times New Roman"/>
          <w:color w:val="000000" w:themeColor="text1"/>
          <w:sz w:val="30"/>
          <w:szCs w:val="30"/>
          <w14:textFill>
            <w14:solidFill>
              <w14:schemeClr w14:val="tx1"/>
            </w14:solidFill>
          </w14:textFill>
        </w:rPr>
        <w:t>兴仁国家基本站保护区范围划分标准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2238"/>
        <w:gridCol w:w="5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6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保护划分</w:t>
            </w:r>
          </w:p>
        </w:tc>
        <w:tc>
          <w:tcPr>
            <w:tcW w:w="2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保护范围</w:t>
            </w:r>
          </w:p>
        </w:tc>
        <w:tc>
          <w:tcPr>
            <w:tcW w:w="5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6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核心保护区</w:t>
            </w:r>
          </w:p>
        </w:tc>
        <w:tc>
          <w:tcPr>
            <w:tcW w:w="2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&lt;500米</w:t>
            </w:r>
          </w:p>
        </w:tc>
        <w:tc>
          <w:tcPr>
            <w:tcW w:w="5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详见核心保护区探测环境保护标准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5" w:hRule="atLeast"/>
          <w:jc w:val="center"/>
        </w:trPr>
        <w:tc>
          <w:tcPr>
            <w:tcW w:w="16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基本保护区</w:t>
            </w:r>
          </w:p>
        </w:tc>
        <w:tc>
          <w:tcPr>
            <w:tcW w:w="2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500—1000米</w:t>
            </w:r>
          </w:p>
        </w:tc>
        <w:tc>
          <w:tcPr>
            <w:tcW w:w="5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在观测场周边1000米探测环境保护范围内禁止修建高度超过距观测场距离1/10的建筑物、构筑物。</w:t>
            </w:r>
          </w:p>
        </w:tc>
      </w:tr>
    </w:tbl>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（2）核心保护区保护标准。兴仁国家基本气象站核心保护区保护标准如表4-2所示。</w:t>
      </w:r>
    </w:p>
    <w:p>
      <w:pPr>
        <w:keepNext w:val="0"/>
        <w:keepLines w:val="0"/>
        <w:pageBreakBefore w:val="0"/>
        <w:kinsoku/>
        <w:wordWrap/>
        <w:overflowPunct/>
        <w:topLinePunct w:val="0"/>
        <w:autoSpaceDE/>
        <w:autoSpaceDN/>
        <w:bidi w:val="0"/>
        <w:spacing w:line="576" w:lineRule="exact"/>
        <w:jc w:val="center"/>
        <w:textAlignment w:val="auto"/>
        <w:rPr>
          <w:rFonts w:hint="default" w:ascii="Times New Roman" w:hAnsi="Times New Roman" w:eastAsia="方正小标宋_GBK" w:cs="Times New Roman"/>
          <w:color w:val="000000" w:themeColor="text1"/>
          <w:sz w:val="30"/>
          <w:szCs w:val="30"/>
          <w14:textFill>
            <w14:solidFill>
              <w14:schemeClr w14:val="tx1"/>
            </w14:solidFill>
          </w14:textFill>
        </w:rPr>
      </w:pPr>
      <w:r>
        <w:rPr>
          <w:rFonts w:hint="default" w:ascii="Times New Roman" w:hAnsi="Times New Roman" w:eastAsia="方正小标宋_GBK" w:cs="Times New Roman"/>
          <w:color w:val="000000" w:themeColor="text1"/>
          <w:sz w:val="30"/>
          <w:szCs w:val="30"/>
          <w14:textFill>
            <w14:solidFill>
              <w14:schemeClr w14:val="tx1"/>
            </w14:solidFill>
          </w14:textFill>
        </w:rPr>
        <w:t>表4-2</w:t>
      </w:r>
      <w:r>
        <w:rPr>
          <w:rFonts w:hint="default" w:ascii="Times New Roman" w:hAnsi="Times New Roman" w:eastAsia="方正小标宋_GBK" w:cs="Times New Roman"/>
          <w:color w:val="000000" w:themeColor="text1"/>
          <w:sz w:val="30"/>
          <w:szCs w:val="30"/>
          <w:lang w:val="en-US" w:eastAsia="zh-CN"/>
          <w14:textFill>
            <w14:solidFill>
              <w14:schemeClr w14:val="tx1"/>
            </w14:solidFill>
          </w14:textFill>
        </w:rPr>
        <w:t xml:space="preserve"> </w:t>
      </w:r>
      <w:r>
        <w:rPr>
          <w:rFonts w:hint="default" w:ascii="Times New Roman" w:hAnsi="Times New Roman" w:eastAsia="方正小标宋_GBK" w:cs="Times New Roman"/>
          <w:color w:val="000000" w:themeColor="text1"/>
          <w:sz w:val="30"/>
          <w:szCs w:val="30"/>
          <w14:textFill>
            <w14:solidFill>
              <w14:schemeClr w14:val="tx1"/>
            </w14:solidFill>
          </w14:textFill>
        </w:rPr>
        <w:t>兴仁基本站核心保护区探测环境保护标准</w:t>
      </w:r>
    </w:p>
    <w:tbl>
      <w:tblPr>
        <w:tblStyle w:val="13"/>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5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right="100"/>
              <w:jc w:val="righ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16510</wp:posOffset>
                      </wp:positionV>
                      <wp:extent cx="1905000" cy="495935"/>
                      <wp:effectExtent l="1270" t="4445" r="17780" b="13970"/>
                      <wp:wrapNone/>
                      <wp:docPr id="12" name="直接连接符 12"/>
                      <wp:cNvGraphicFramePr/>
                      <a:graphic xmlns:a="http://schemas.openxmlformats.org/drawingml/2006/main">
                        <a:graphicData uri="http://schemas.microsoft.com/office/word/2010/wordprocessingShape">
                          <wps:wsp>
                            <wps:cNvCnPr/>
                            <wps:spPr>
                              <a:xfrm flipH="1" flipV="1">
                                <a:off x="1022985" y="2481580"/>
                                <a:ext cx="1905000" cy="49593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5.3pt;margin-top:1.3pt;height:39.05pt;width:150pt;z-index:251663360;mso-width-relative:page;mso-height-relative:page;" filled="f" stroked="t" coordsize="21600,21600" o:gfxdata="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2hRIm2AAAAAgBAAAPAAAAAAAAAAEAIAAAACIAAABkcnMvZG93bnJldi54bWxQSwEC&#10;FAAUAAAACACHTuJAvgW0CPQBAADBAwAADgAAAAAAAAABACAAAAAnAQAAZHJzL2Uyb0RvYy54bWxQ&#10;SwUGAAAAAAYABgBZAQAAjQUAAAAA&#10;">
                      <v:fill on="f" focussize="0,0"/>
                      <v:stroke weight="0.5pt" color="#000000 [3213]" joinstyle="round"/>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w:t>站类或项目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障碍物分类</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基本站核心保护区探测环境保护标准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与障碍物距离</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＞障碍物高度的10倍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与垃圾场、排污口等干扰源</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与铁路路基距离</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与公路路基距离</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与水塘距离</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2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与作物、树木距离</w:t>
            </w:r>
          </w:p>
        </w:tc>
        <w:tc>
          <w:tcPr>
            <w:tcW w:w="5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观测场四周50米范围内不得种植高于1米的作物、树木</w:t>
            </w:r>
          </w:p>
        </w:tc>
      </w:tr>
    </w:tbl>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 xml:space="preserve">（3）基本保护区保护标准。在观测场周边500-1000米探测环境保护范围内禁止修建高度超过距观测场距离1/10的建筑物、构筑物。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eastAsia="仿宋_GB2312" w:cs="Times New Roman"/>
          <w:b/>
          <w:bCs/>
          <w:color w:val="000000" w:themeColor="text1"/>
          <w:szCs w:val="32"/>
          <w14:textFill>
            <w14:solidFill>
              <w14:schemeClr w14:val="tx1"/>
            </w14:solidFill>
          </w14:textFill>
        </w:rPr>
      </w:pPr>
      <w:r>
        <w:rPr>
          <w:rFonts w:hint="default" w:ascii="Times New Roman" w:hAnsi="Times New Roman" w:eastAsia="仿宋_GB2312" w:cs="Times New Roman"/>
          <w:b/>
          <w:bCs/>
          <w:color w:val="000000" w:themeColor="text1"/>
          <w:szCs w:val="32"/>
          <w14:textFill>
            <w14:solidFill>
              <w14:schemeClr w14:val="tx1"/>
            </w14:solidFill>
          </w14:textFill>
        </w:rPr>
        <w:t>4.2.4 观测场周边地块建（构）筑物高度控制</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观测场四周障碍物控制要求：在观测场周边1000米探测环境</w:t>
      </w:r>
      <w:r>
        <w:rPr>
          <w:rFonts w:hint="default" w:ascii="Times New Roman" w:hAnsi="Times New Roman" w:cs="Times New Roman"/>
          <w:bCs/>
          <w:color w:val="000000" w:themeColor="text1"/>
          <w:spacing w:val="-6"/>
          <w:sz w:val="32"/>
          <w:szCs w:val="32"/>
          <w14:textFill>
            <w14:solidFill>
              <w14:schemeClr w14:val="tx1"/>
            </w14:solidFill>
          </w14:textFill>
        </w:rPr>
        <w:t xml:space="preserve">保护范围内禁止修建高度超过距观测场距离1/10的建筑物、构筑物。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 xml:space="preserve">地块建、构筑物限高计算方法：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 xml:space="preserve">H=a/10+h（米）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其中：</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H</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cs="Times New Roman"/>
          <w:bCs/>
          <w:color w:val="000000" w:themeColor="text1"/>
          <w:szCs w:val="32"/>
          <w14:textFill>
            <w14:solidFill>
              <w14:schemeClr w14:val="tx1"/>
            </w14:solidFill>
          </w14:textFill>
        </w:rPr>
        <w:t xml:space="preserve">建、构筑物限高（相对高度）（米）；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a</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cs="Times New Roman"/>
          <w:bCs/>
          <w:color w:val="000000" w:themeColor="text1"/>
          <w:szCs w:val="32"/>
          <w14:textFill>
            <w14:solidFill>
              <w14:schemeClr w14:val="tx1"/>
            </w14:solidFill>
          </w14:textFill>
        </w:rPr>
        <w:t xml:space="preserve">建、构筑物与观测场围栏的水平距离（米）； </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jc w:val="left"/>
        <w:textAlignment w:val="auto"/>
        <w:rPr>
          <w:rFonts w:hint="default" w:ascii="Times New Roman" w:hAnsi="Times New Roman" w:cs="Times New Roman"/>
          <w:bCs/>
          <w:color w:val="000000" w:themeColor="text1"/>
          <w:szCs w:val="32"/>
          <w14:textFill>
            <w14:solidFill>
              <w14:schemeClr w14:val="tx1"/>
            </w14:solidFill>
          </w14:textFill>
        </w:rPr>
      </w:pPr>
      <w:r>
        <w:rPr>
          <w:rFonts w:hint="default" w:ascii="Times New Roman" w:hAnsi="Times New Roman" w:cs="Times New Roman"/>
          <w:bCs/>
          <w:color w:val="000000" w:themeColor="text1"/>
          <w:szCs w:val="32"/>
          <w14:textFill>
            <w14:solidFill>
              <w14:schemeClr w14:val="tx1"/>
            </w14:solidFill>
          </w14:textFill>
        </w:rPr>
        <w:t>h</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cs="Times New Roman"/>
          <w:bCs/>
          <w:color w:val="000000" w:themeColor="text1"/>
          <w:szCs w:val="32"/>
          <w14:textFill>
            <w14:solidFill>
              <w14:schemeClr w14:val="tx1"/>
            </w14:solidFill>
          </w14:textFill>
        </w:rPr>
        <w:t>兴仁国家基本气象站海拔高度</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cs="Times New Roman"/>
          <w:bCs/>
          <w:color w:val="000000" w:themeColor="text1"/>
          <w:szCs w:val="32"/>
          <w14:textFill>
            <w14:solidFill>
              <w14:schemeClr w14:val="tx1"/>
            </w14:solidFill>
          </w14:textFill>
        </w:rPr>
        <w:t>以黄海高程为基准</w:t>
      </w:r>
      <w:r>
        <w:rPr>
          <w:rFonts w:hint="default" w:ascii="Times New Roman" w:hAnsi="Times New Roman" w:cs="Times New Roman"/>
          <w:bCs/>
          <w:color w:val="000000" w:themeColor="text1"/>
          <w:szCs w:val="32"/>
          <w:lang w:eastAsia="zh-CN"/>
          <w14:textFill>
            <w14:solidFill>
              <w14:schemeClr w14:val="tx1"/>
            </w14:solidFill>
          </w14:textFill>
        </w:rPr>
        <w:t>）</w:t>
      </w:r>
      <w:r>
        <w:rPr>
          <w:rFonts w:hint="default" w:ascii="Times New Roman" w:hAnsi="Times New Roman" w:cs="Times New Roman"/>
          <w:bCs/>
          <w:color w:val="000000" w:themeColor="text1"/>
          <w:szCs w:val="32"/>
          <w14:textFill>
            <w14:solidFill>
              <w14:schemeClr w14:val="tx1"/>
            </w14:solidFill>
          </w14:textFill>
        </w:rPr>
        <w:t>（米），h=</w:t>
      </w:r>
      <w:r>
        <w:rPr>
          <w:rFonts w:hint="default" w:ascii="Times New Roman" w:hAnsi="Times New Roman" w:cs="Times New Roman"/>
          <w:color w:val="000000" w:themeColor="text1"/>
          <w:szCs w:val="32"/>
          <w14:textFill>
            <w14:solidFill>
              <w14:schemeClr w14:val="tx1"/>
            </w14:solidFill>
          </w14:textFill>
        </w:rPr>
        <w:t>1697.9</w:t>
      </w:r>
      <w:r>
        <w:rPr>
          <w:rFonts w:hint="default" w:ascii="Times New Roman" w:hAnsi="Times New Roman" w:cs="Times New Roman"/>
          <w:bCs/>
          <w:color w:val="000000" w:themeColor="text1"/>
          <w:szCs w:val="32"/>
          <w14:textFill>
            <w14:solidFill>
              <w14:schemeClr w14:val="tx1"/>
            </w14:solidFill>
          </w14:textFill>
        </w:rPr>
        <w:t>米。</w:t>
      </w:r>
    </w:p>
    <w:p>
      <w:pPr>
        <w:keepNext w:val="0"/>
        <w:keepLines w:val="0"/>
        <w:pageBreakBefore w:val="0"/>
        <w:kinsoku/>
        <w:wordWrap/>
        <w:overflowPunct/>
        <w:topLinePunct w:val="0"/>
        <w:autoSpaceDE/>
        <w:autoSpaceDN/>
        <w:bidi w:val="0"/>
        <w:spacing w:line="576" w:lineRule="exact"/>
        <w:jc w:val="center"/>
        <w:textAlignment w:val="auto"/>
        <w:rPr>
          <w:rFonts w:hint="default" w:ascii="Times New Roman" w:hAnsi="Times New Roman" w:eastAsia="方正小标宋_GBK" w:cs="Times New Roman"/>
          <w:color w:val="000000" w:themeColor="text1"/>
          <w:sz w:val="30"/>
          <w:szCs w:val="30"/>
          <w14:textFill>
            <w14:solidFill>
              <w14:schemeClr w14:val="tx1"/>
            </w14:solidFill>
          </w14:textFill>
        </w:rPr>
      </w:pPr>
      <w:r>
        <w:rPr>
          <w:rFonts w:hint="default" w:ascii="Times New Roman" w:hAnsi="Times New Roman" w:eastAsia="方正小标宋_GBK" w:cs="Times New Roman"/>
          <w:color w:val="000000" w:themeColor="text1"/>
          <w:sz w:val="30"/>
          <w:szCs w:val="30"/>
          <w14:textFill>
            <w14:solidFill>
              <w14:schemeClr w14:val="tx1"/>
            </w14:solidFill>
          </w14:textFill>
        </w:rPr>
        <w:t>表4-3</w:t>
      </w:r>
      <w:r>
        <w:rPr>
          <w:rFonts w:hint="default" w:ascii="Times New Roman" w:hAnsi="Times New Roman" w:eastAsia="方正小标宋_GBK" w:cs="Times New Roman"/>
          <w:color w:val="000000" w:themeColor="text1"/>
          <w:sz w:val="30"/>
          <w:szCs w:val="30"/>
          <w:lang w:val="en-US" w:eastAsia="zh-CN"/>
          <w14:textFill>
            <w14:solidFill>
              <w14:schemeClr w14:val="tx1"/>
            </w14:solidFill>
          </w14:textFill>
        </w:rPr>
        <w:t xml:space="preserve"> </w:t>
      </w:r>
      <w:r>
        <w:rPr>
          <w:rFonts w:hint="default" w:ascii="Times New Roman" w:hAnsi="Times New Roman" w:eastAsia="方正小标宋_GBK" w:cs="Times New Roman"/>
          <w:color w:val="000000" w:themeColor="text1"/>
          <w:sz w:val="30"/>
          <w:szCs w:val="30"/>
          <w14:textFill>
            <w14:solidFill>
              <w14:schemeClr w14:val="tx1"/>
            </w14:solidFill>
          </w14:textFill>
        </w:rPr>
        <w:t>兴仁基本站保护区建设控制地带建、构筑物限高表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9"/>
        <w:gridCol w:w="5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与观测场围栏的水平距离（米）</w:t>
            </w:r>
          </w:p>
        </w:tc>
        <w:tc>
          <w:tcPr>
            <w:tcW w:w="5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建、构筑物限高（黄海高程海拔高度）（米）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50-100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1702.9～1707.9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100-200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1707.9～1717.9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200-300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1717.9～1727.9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300-400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1727.9～1737.9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400-500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1737.9～1747.9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500-600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1747.9～1757.9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600-700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1757.9～1767.9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700-800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1767.9～1777.9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800-900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1777.9～1787.9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3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900-1000</w:t>
            </w:r>
          </w:p>
        </w:tc>
        <w:tc>
          <w:tcPr>
            <w:tcW w:w="5060"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1787.9～1797.9</w:t>
            </w:r>
          </w:p>
        </w:tc>
      </w:tr>
    </w:tbl>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color w:val="000000" w:themeColor="text1"/>
          <w:szCs w:val="32"/>
          <w14:textFill>
            <w14:solidFill>
              <w14:schemeClr w14:val="tx1"/>
            </w14:solidFill>
          </w14:textFill>
        </w:rPr>
      </w:pPr>
    </w:p>
    <w:p>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lang w:eastAsia="zh-CN"/>
          <w14:textFill>
            <w14:solidFill>
              <w14:schemeClr w14:val="tx1"/>
            </w14:solidFill>
          </w14:textFill>
        </w:rPr>
        <w:t>第五章</w:t>
      </w: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32"/>
          <w:szCs w:val="32"/>
          <w14:textFill>
            <w14:solidFill>
              <w14:schemeClr w14:val="tx1"/>
            </w14:solidFill>
          </w14:textFill>
        </w:rPr>
        <w:t>气象探测环境保护专项规划的实施</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小标宋_GBK" w:cs="Times New Roman"/>
          <w:color w:val="000000" w:themeColor="text1"/>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eastAsia="黑体" w:cs="Times New Roman"/>
          <w:b w:val="0"/>
          <w:bCs w:val="0"/>
          <w:color w:val="000000" w:themeColor="text1"/>
          <w:szCs w:val="32"/>
          <w14:textFill>
            <w14:solidFill>
              <w14:schemeClr w14:val="tx1"/>
            </w14:solidFill>
          </w14:textFill>
        </w:rPr>
        <w:t>5.1</w:t>
      </w:r>
      <w:r>
        <w:rPr>
          <w:rFonts w:hint="default" w:ascii="Times New Roman" w:hAnsi="Times New Roman" w:eastAsia="楷体_GB2312" w:cs="Times New Roman"/>
          <w:b w:val="0"/>
          <w:bCs w:val="0"/>
          <w:color w:val="000000" w:themeColor="text1"/>
          <w:szCs w:val="32"/>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本次规划确定范围内的用地和建设项目控高须与本规划提出的气象探测环境保护要求相一致，不得影响气象探测设施准确获得气象探测信息。</w:t>
      </w: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eastAsia="黑体" w:cs="Times New Roman"/>
          <w:b w:val="0"/>
          <w:bCs w:val="0"/>
          <w:color w:val="000000" w:themeColor="text1"/>
          <w:szCs w:val="32"/>
          <w14:textFill>
            <w14:solidFill>
              <w14:schemeClr w14:val="tx1"/>
            </w14:solidFill>
          </w14:textFill>
        </w:rPr>
        <w:t>5.2</w:t>
      </w:r>
      <w:r>
        <w:rPr>
          <w:rFonts w:hint="default" w:ascii="Times New Roman" w:hAnsi="Times New Roman" w:cs="Times New Roman"/>
          <w:color w:val="000000" w:themeColor="text1"/>
          <w:szCs w:val="32"/>
          <w14:textFill>
            <w14:solidFill>
              <w14:schemeClr w14:val="tx1"/>
            </w14:solidFill>
          </w14:textFill>
        </w:rPr>
        <w:t>气象部门负责制订台站周边气象探测环境的控制标准，规划部门负责将本规划列入城市总体规划中，以相关法律法规及本规划的具体标准规划气象探测环境保护范围内的各类新建、扩建、改建建设工程。由于新建探测设施而导致保护要求变化时，须及时报规划、建设部门备案。</w:t>
      </w: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eastAsia="黑体" w:cs="Times New Roman"/>
          <w:b w:val="0"/>
          <w:bCs w:val="0"/>
          <w:color w:val="000000" w:themeColor="text1"/>
          <w:szCs w:val="32"/>
          <w14:textFill>
            <w14:solidFill>
              <w14:schemeClr w14:val="tx1"/>
            </w14:solidFill>
          </w14:textFill>
        </w:rPr>
        <w:t>5.3</w:t>
      </w:r>
      <w:r>
        <w:rPr>
          <w:rFonts w:hint="default" w:ascii="Times New Roman" w:hAnsi="Times New Roman" w:cs="Times New Roman"/>
          <w:color w:val="000000" w:themeColor="text1"/>
          <w:szCs w:val="32"/>
          <w14:textFill>
            <w14:solidFill>
              <w14:schemeClr w14:val="tx1"/>
            </w14:solidFill>
          </w14:textFill>
        </w:rPr>
        <w:t>对于专项规划确定的气象探测环境保护范围内的建设项目（包括新建、扩建、改建建设工程），如果有可能超过气象探测环境保护标准，项目审批主管部门在进行审批时，应审查其是否具有气象部门的书面审查意见；保护范围内的建设项目如符合气象探测环境保护标准，方能予以审批，同时建设单位或业主应将建设实施方案报气象部门备案。</w:t>
      </w: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eastAsia="黑体" w:cs="Times New Roman"/>
          <w:b w:val="0"/>
          <w:bCs w:val="0"/>
          <w:color w:val="000000" w:themeColor="text1"/>
          <w:szCs w:val="32"/>
          <w14:textFill>
            <w14:solidFill>
              <w14:schemeClr w14:val="tx1"/>
            </w14:solidFill>
          </w14:textFill>
        </w:rPr>
        <w:t>5.4</w:t>
      </w:r>
      <w:r>
        <w:rPr>
          <w:rFonts w:hint="default" w:ascii="Times New Roman" w:hAnsi="Times New Roman" w:cs="Times New Roman"/>
          <w:color w:val="000000" w:themeColor="text1"/>
          <w:szCs w:val="32"/>
          <w14:textFill>
            <w14:solidFill>
              <w14:schemeClr w14:val="tx1"/>
            </w14:solidFill>
          </w14:textFill>
        </w:rPr>
        <w:t>专项规划经批准后纳入城乡规划统一实施。气象探测环境保护专项规划实施后，未经法定程序批准不得改变。</w:t>
      </w:r>
    </w:p>
    <w:p>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default" w:ascii="Times New Roman" w:hAnsi="Times New Roman" w:eastAsia="黑体" w:cs="Times New Roman"/>
          <w:color w:val="000000" w:themeColor="text1"/>
          <w:kern w:val="0"/>
          <w:szCs w:val="32"/>
          <w14:textFill>
            <w14:solidFill>
              <w14:schemeClr w14:val="tx1"/>
            </w14:solidFill>
          </w14:textFill>
        </w:rPr>
      </w:pPr>
      <w:r>
        <w:rPr>
          <w:rFonts w:hint="default" w:ascii="Times New Roman" w:hAnsi="Times New Roman" w:eastAsia="黑体" w:cs="Times New Roman"/>
          <w:b w:val="0"/>
          <w:bCs w:val="0"/>
          <w:color w:val="000000" w:themeColor="text1"/>
          <w:szCs w:val="32"/>
          <w14:textFill>
            <w14:solidFill>
              <w14:schemeClr w14:val="tx1"/>
            </w14:solidFill>
          </w14:textFill>
        </w:rPr>
        <w:t>5.5</w:t>
      </w:r>
      <w:r>
        <w:rPr>
          <w:rFonts w:hint="default" w:ascii="Times New Roman" w:hAnsi="Times New Roman" w:cs="Times New Roman"/>
          <w:color w:val="000000" w:themeColor="text1"/>
          <w:szCs w:val="32"/>
          <w14:textFill>
            <w14:solidFill>
              <w14:schemeClr w14:val="tx1"/>
            </w14:solidFill>
          </w14:textFill>
        </w:rPr>
        <w:t>本专项规划自批准之日起生效。</w:t>
      </w:r>
    </w:p>
    <w:p>
      <w:pPr>
        <w:pStyle w:val="20"/>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黑体" w:cs="Times New Roman"/>
          <w:b w:val="0"/>
          <w:bCs/>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color w:val="000000" w:themeColor="text1"/>
          <w:sz w:val="32"/>
          <w:szCs w:val="32"/>
          <w:lang w:eastAsia="zh-CN"/>
          <w14:textFill>
            <w14:solidFill>
              <w14:schemeClr w14:val="tx1"/>
            </w14:solidFill>
          </w14:textFill>
        </w:rPr>
        <w:t>第六章</w:t>
      </w: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32"/>
          <w:szCs w:val="32"/>
          <w:lang w:eastAsia="zh-CN"/>
          <w14:textFill>
            <w14:solidFill>
              <w14:schemeClr w14:val="tx1"/>
            </w14:solidFill>
          </w14:textFill>
        </w:rPr>
        <w:t xml:space="preserve"> 附则</w:t>
      </w:r>
    </w:p>
    <w:p>
      <w:pPr>
        <w:keepNext w:val="0"/>
        <w:keepLines w:val="0"/>
        <w:pageBreakBefore w:val="0"/>
        <w:widowControl/>
        <w:kinsoku/>
        <w:wordWrap/>
        <w:overflowPunct/>
        <w:topLinePunct w:val="0"/>
        <w:autoSpaceDE/>
        <w:autoSpaceDN/>
        <w:bidi w:val="0"/>
        <w:adjustRightInd/>
        <w:snapToGrid w:val="0"/>
        <w:spacing w:line="500" w:lineRule="exact"/>
        <w:ind w:firstLine="628" w:firstLineChars="200"/>
        <w:jc w:val="left"/>
        <w:textAlignment w:val="auto"/>
        <w:rPr>
          <w:rFonts w:hint="default" w:ascii="Times New Roman" w:hAnsi="Times New Roman" w:cs="Times New Roman"/>
          <w:color w:val="000000" w:themeColor="text1"/>
          <w:kern w:val="0"/>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500" w:lineRule="exact"/>
        <w:ind w:firstLine="628" w:firstLineChars="200"/>
        <w:jc w:val="left"/>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kern w:val="0"/>
          <w:szCs w:val="32"/>
          <w14:textFill>
            <w14:solidFill>
              <w14:schemeClr w14:val="tx1"/>
            </w14:solidFill>
          </w14:textFill>
        </w:rPr>
        <w:t>本规划各条款由兴仁气象站负责解释。</w:t>
      </w: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628" w:firstLineChars="2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附件：1.兴仁国家基本气象站位置示意图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 xml:space="preserve">          2. 兴仁国家基本气象站保护范围划分图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 xml:space="preserve">          3. 兴仁国家基本气象站核心保护区高度控制图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 xml:space="preserve">          4. 兴仁国家基本气象站基本保护区高度控制图</w:t>
      </w:r>
    </w:p>
    <w:p>
      <w:pPr>
        <w:keepNext w:val="0"/>
        <w:keepLines w:val="0"/>
        <w:pageBreakBefore w:val="0"/>
        <w:widowControl w:val="0"/>
        <w:kinsoku/>
        <w:wordWrap/>
        <w:overflowPunct/>
        <w:topLinePunct w:val="0"/>
        <w:autoSpaceDE/>
        <w:autoSpaceDN/>
        <w:bidi w:val="0"/>
        <w:adjustRightInd/>
        <w:spacing w:line="560" w:lineRule="exact"/>
        <w:textAlignment w:val="auto"/>
        <w:rPr>
          <w:rFonts w:hint="default" w:ascii="Times New Roman" w:hAnsi="Times New Roman" w:eastAsia="黑体" w:cs="Times New Roman"/>
          <w:color w:val="000000" w:themeColor="text1"/>
          <w:szCs w:val="32"/>
          <w14:textFill>
            <w14:solidFill>
              <w14:schemeClr w14:val="tx1"/>
            </w14:solidFill>
          </w14:textFill>
        </w:rPr>
      </w:pPr>
      <w:r>
        <w:rPr>
          <w:rFonts w:hint="default" w:ascii="Times New Roman" w:hAnsi="Times New Roman" w:eastAsia="黑体" w:cs="Times New Roman"/>
          <w:color w:val="000000" w:themeColor="text1"/>
          <w:szCs w:val="32"/>
          <w14:textFill>
            <w14:solidFill>
              <w14:schemeClr w14:val="tx1"/>
            </w14:solidFill>
          </w14:textFill>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兴仁国家基本气象站位置示意图</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Times New Roman" w:hAnsi="Times New Roman" w:cs="Times New Roman"/>
        </w:rPr>
      </w:pPr>
    </w:p>
    <w:p>
      <w:pPr>
        <w:spacing w:line="50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614670" cy="6321425"/>
            <wp:effectExtent l="0" t="0" r="5080" b="317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0" cstate="print"/>
                    <a:stretch>
                      <a:fillRect/>
                    </a:stretch>
                  </pic:blipFill>
                  <pic:spPr>
                    <a:xfrm>
                      <a:off x="0" y="0"/>
                      <a:ext cx="5614670" cy="6321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560" w:lineRule="exact"/>
        <w:textAlignment w:val="auto"/>
        <w:rPr>
          <w:rFonts w:hint="default" w:ascii="Times New Roman" w:hAnsi="Times New Roman" w:eastAsia="黑体" w:cs="Times New Roman"/>
          <w:color w:val="000000" w:themeColor="text1"/>
          <w:szCs w:val="32"/>
          <w14:textFill>
            <w14:solidFill>
              <w14:schemeClr w14:val="tx1"/>
            </w14:solidFill>
          </w14:textFill>
        </w:rPr>
      </w:pPr>
      <w:r>
        <w:rPr>
          <w:rFonts w:hint="default" w:ascii="Times New Roman" w:hAnsi="Times New Roman" w:eastAsia="黑体" w:cs="Times New Roman"/>
          <w:color w:val="000000" w:themeColor="text1"/>
          <w:szCs w:val="32"/>
          <w14:textFill>
            <w14:solidFill>
              <w14:schemeClr w14:val="tx1"/>
            </w14:solidFill>
          </w14:textFill>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兴仁国家基本气象站保护范围划分图</w:t>
      </w: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default" w:ascii="Times New Roman" w:hAnsi="Times New Roman" w:cs="Times New Roman"/>
        </w:rPr>
      </w:pPr>
    </w:p>
    <w:p>
      <w:pPr>
        <w:spacing w:line="500" w:lineRule="atLeas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614670" cy="4597400"/>
            <wp:effectExtent l="0" t="0" r="5080" b="1270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1" cstate="print"/>
                    <a:stretch>
                      <a:fillRect/>
                    </a:stretch>
                  </pic:blipFill>
                  <pic:spPr>
                    <a:xfrm>
                      <a:off x="0" y="0"/>
                      <a:ext cx="5614670" cy="4597400"/>
                    </a:xfrm>
                    <a:prstGeom prst="rect">
                      <a:avLst/>
                    </a:prstGeom>
                  </pic:spPr>
                </pic:pic>
              </a:graphicData>
            </a:graphic>
          </wp:inline>
        </w:drawing>
      </w:r>
    </w:p>
    <w:p>
      <w:pPr>
        <w:pStyle w:val="20"/>
        <w:ind w:firstLine="628"/>
        <w:rPr>
          <w:rFonts w:hint="default" w:ascii="Times New Roman" w:hAnsi="Times New Roman" w:cs="Times New Roman"/>
          <w:color w:val="000000" w:themeColor="text1"/>
          <w:lang w:val="en-US"/>
          <w14:textFill>
            <w14:solidFill>
              <w14:schemeClr w14:val="tx1"/>
            </w14:solidFill>
          </w14:textFill>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1987"/>
        <w:gridCol w:w="5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67"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保护划分</w:t>
            </w:r>
          </w:p>
        </w:tc>
        <w:tc>
          <w:tcPr>
            <w:tcW w:w="1987"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保护范围</w:t>
            </w:r>
          </w:p>
        </w:tc>
        <w:tc>
          <w:tcPr>
            <w:tcW w:w="5095"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67"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核心保护区</w:t>
            </w:r>
          </w:p>
        </w:tc>
        <w:tc>
          <w:tcPr>
            <w:tcW w:w="1987"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500米</w:t>
            </w:r>
          </w:p>
        </w:tc>
        <w:tc>
          <w:tcPr>
            <w:tcW w:w="5095" w:type="dxa"/>
            <w:tcBorders>
              <w:tl2br w:val="nil"/>
              <w:tr2bl w:val="nil"/>
            </w:tcBorders>
            <w:vAlign w:val="center"/>
          </w:tcPr>
          <w:p>
            <w:pPr>
              <w:spacing w:line="400" w:lineRule="exact"/>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详见核心保护区探测环境保护标准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67"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基本保护区</w:t>
            </w:r>
          </w:p>
        </w:tc>
        <w:tc>
          <w:tcPr>
            <w:tcW w:w="1987" w:type="dxa"/>
            <w:tcBorders>
              <w:tl2br w:val="nil"/>
              <w:tr2bl w:val="nil"/>
            </w:tcBorders>
            <w:vAlign w:val="center"/>
          </w:tcPr>
          <w:p>
            <w:pPr>
              <w:spacing w:line="400" w:lineRule="exact"/>
              <w:jc w:val="center"/>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500—1000米</w:t>
            </w:r>
          </w:p>
        </w:tc>
        <w:tc>
          <w:tcPr>
            <w:tcW w:w="5095" w:type="dxa"/>
            <w:tcBorders>
              <w:tl2br w:val="nil"/>
              <w:tr2bl w:val="nil"/>
            </w:tcBorders>
            <w:vAlign w:val="center"/>
          </w:tcPr>
          <w:p>
            <w:pPr>
              <w:spacing w:line="400" w:lineRule="exact"/>
              <w:jc w:val="left"/>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在观测场周边1000米探测环境保护范围内禁止修建高度超过距观测场距离1/10的建筑物、构筑物。</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themeColor="text1"/>
          <w:szCs w:val="32"/>
          <w14:textFill>
            <w14:solidFill>
              <w14:schemeClr w14:val="tx1"/>
            </w14:solidFill>
          </w14:textFill>
        </w:rPr>
      </w:pPr>
      <w:r>
        <w:rPr>
          <w:rFonts w:hint="default" w:ascii="Times New Roman" w:hAnsi="Times New Roman" w:eastAsia="黑体" w:cs="Times New Roman"/>
          <w:color w:val="000000" w:themeColor="text1"/>
          <w:szCs w:val="32"/>
          <w14:textFill>
            <w14:solidFill>
              <w14:schemeClr w14:val="tx1"/>
            </w14:solidFill>
          </w14:textFill>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兴仁国家基本气象站核心保护区高度控制图</w:t>
      </w:r>
    </w:p>
    <w:p>
      <w:pPr>
        <w:pStyle w:val="20"/>
        <w:keepNext w:val="0"/>
        <w:keepLines w:val="0"/>
        <w:pageBreakBefore w:val="0"/>
        <w:widowControl w:val="0"/>
        <w:kinsoku/>
        <w:wordWrap/>
        <w:overflowPunct/>
        <w:topLinePunct w:val="0"/>
        <w:autoSpaceDE/>
        <w:autoSpaceDN/>
        <w:bidi w:val="0"/>
        <w:adjustRightInd/>
        <w:snapToGrid/>
        <w:spacing w:line="560" w:lineRule="exact"/>
        <w:ind w:firstLine="628"/>
        <w:textAlignment w:val="auto"/>
        <w:rPr>
          <w:rFonts w:hint="default" w:ascii="Times New Roman" w:hAnsi="Times New Roman" w:eastAsia="仿宋_GB2312" w:cs="Times New Roman"/>
          <w:color w:val="000000" w:themeColor="text1"/>
          <w:szCs w:val="32"/>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snapToGrid/>
        <w:spacing w:line="560" w:lineRule="exact"/>
        <w:ind w:firstLine="628"/>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在观测场周边500米探测环境保护范围内禁止修建高度超过距观测场距离1/10的建筑物、构筑物。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地块建、构筑物限高计算方法： H=a/10+h（米）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其中：H:建、构筑物限高（相对高度）（米）； </w:t>
      </w:r>
    </w:p>
    <w:p>
      <w:pPr>
        <w:keepNext w:val="0"/>
        <w:keepLines w:val="0"/>
        <w:pageBreakBefore w:val="0"/>
        <w:widowControl w:val="0"/>
        <w:kinsoku/>
        <w:wordWrap/>
        <w:overflowPunct/>
        <w:topLinePunct w:val="0"/>
        <w:autoSpaceDE/>
        <w:autoSpaceDN/>
        <w:bidi w:val="0"/>
        <w:adjustRightInd/>
        <w:snapToGrid/>
        <w:spacing w:line="560" w:lineRule="exact"/>
        <w:ind w:firstLine="1256" w:firstLineChars="4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　a:建、构筑物与观测场围栏的水平距离（米）；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h</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兴仁国家基本气象站海拔高度</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以黄海高程为基准</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（米），h=1697.9米。</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lang w:val="en-US"/>
          <w14:textFill>
            <w14:solidFill>
              <w14:schemeClr w14:val="tx1"/>
            </w14:solidFill>
          </w14:textFill>
        </w:rPr>
        <w:drawing>
          <wp:anchor distT="0" distB="0" distL="114300" distR="114300" simplePos="0" relativeHeight="251664384" behindDoc="0" locked="0" layoutInCell="1" allowOverlap="1">
            <wp:simplePos x="0" y="0"/>
            <wp:positionH relativeFrom="column">
              <wp:posOffset>-635</wp:posOffset>
            </wp:positionH>
            <wp:positionV relativeFrom="page">
              <wp:posOffset>5380355</wp:posOffset>
            </wp:positionV>
            <wp:extent cx="5518150" cy="3669030"/>
            <wp:effectExtent l="0" t="0" r="6350" b="7620"/>
            <wp:wrapTopAndBottom/>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2" cstate="print"/>
                    <a:stretch>
                      <a:fillRect/>
                    </a:stretch>
                  </pic:blipFill>
                  <pic:spPr>
                    <a:xfrm>
                      <a:off x="0" y="0"/>
                      <a:ext cx="5518150" cy="36690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themeColor="text1"/>
          <w:szCs w:val="32"/>
          <w14:textFill>
            <w14:solidFill>
              <w14:schemeClr w14:val="tx1"/>
            </w14:solidFill>
          </w14:textFill>
        </w:rPr>
      </w:pPr>
      <w:r>
        <w:rPr>
          <w:rFonts w:hint="default" w:ascii="Times New Roman" w:hAnsi="Times New Roman" w:eastAsia="黑体" w:cs="Times New Roman"/>
          <w:color w:val="000000" w:themeColor="text1"/>
          <w:szCs w:val="32"/>
          <w14:textFill>
            <w14:solidFill>
              <w14:schemeClr w14:val="tx1"/>
            </w14:solidFill>
          </w14:textFill>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兴仁国家基本气象站基本保护区高度控制图</w:t>
      </w:r>
    </w:p>
    <w:p>
      <w:pPr>
        <w:pStyle w:val="20"/>
        <w:keepNext w:val="0"/>
        <w:keepLines w:val="0"/>
        <w:pageBreakBefore w:val="0"/>
        <w:widowControl w:val="0"/>
        <w:kinsoku/>
        <w:wordWrap/>
        <w:overflowPunct/>
        <w:topLinePunct w:val="0"/>
        <w:autoSpaceDE/>
        <w:autoSpaceDN/>
        <w:bidi w:val="0"/>
        <w:adjustRightInd/>
        <w:snapToGrid/>
        <w:spacing w:line="560" w:lineRule="exact"/>
        <w:ind w:firstLine="628"/>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p>
    <w:p>
      <w:pPr>
        <w:pStyle w:val="20"/>
        <w:keepNext w:val="0"/>
        <w:keepLines w:val="0"/>
        <w:pageBreakBefore w:val="0"/>
        <w:widowControl w:val="0"/>
        <w:kinsoku/>
        <w:wordWrap/>
        <w:overflowPunct/>
        <w:topLinePunct w:val="0"/>
        <w:autoSpaceDE/>
        <w:autoSpaceDN/>
        <w:bidi w:val="0"/>
        <w:adjustRightInd/>
        <w:snapToGrid/>
        <w:spacing w:line="560" w:lineRule="exact"/>
        <w:ind w:firstLine="628"/>
        <w:jc w:val="distribute"/>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drawing>
          <wp:anchor distT="0" distB="0" distL="114300" distR="114300" simplePos="0" relativeHeight="251662336" behindDoc="0" locked="0" layoutInCell="1" allowOverlap="1">
            <wp:simplePos x="0" y="0"/>
            <wp:positionH relativeFrom="column">
              <wp:posOffset>27305</wp:posOffset>
            </wp:positionH>
            <wp:positionV relativeFrom="page">
              <wp:posOffset>2899410</wp:posOffset>
            </wp:positionV>
            <wp:extent cx="5671820" cy="3874770"/>
            <wp:effectExtent l="0" t="0" r="5080" b="11430"/>
            <wp:wrapTopAndBottom/>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13" cstate="print"/>
                    <a:stretch>
                      <a:fillRect/>
                    </a:stretch>
                  </pic:blipFill>
                  <pic:spPr>
                    <a:xfrm>
                      <a:off x="0" y="0"/>
                      <a:ext cx="5671820" cy="3874770"/>
                    </a:xfrm>
                    <a:prstGeom prst="rect">
                      <a:avLst/>
                    </a:prstGeom>
                  </pic:spPr>
                </pic:pic>
              </a:graphicData>
            </a:graphic>
          </wp:anchor>
        </w:drawing>
      </w:r>
      <w:r>
        <w:rPr>
          <w:rFonts w:hint="default" w:ascii="Times New Roman" w:hAnsi="Times New Roman" w:eastAsia="仿宋_GB2312" w:cs="Times New Roman"/>
          <w:color w:val="000000" w:themeColor="text1"/>
          <w:szCs w:val="32"/>
          <w14:textFill>
            <w14:solidFill>
              <w14:schemeClr w14:val="tx1"/>
            </w14:solidFill>
          </w14:textFill>
        </w:rPr>
        <w:t>在观测场周边500米至1000米探测环境保护范围内禁止修</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建高度超过距观测场距离1/10的建筑物、构筑物。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地块建、构筑物限高计算方法： H=a/10+h（米）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其中：H:建、构筑物限高（相对高度）（米）；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eastAsia="仿宋_GB2312" w:cs="Times New Roman"/>
          <w:color w:val="000000" w:themeColor="text1"/>
          <w:szCs w:val="32"/>
          <w14:textFill>
            <w14:solidFill>
              <w14:schemeClr w14:val="tx1"/>
            </w14:solidFill>
          </w14:textFill>
        </w:rPr>
        <w:t xml:space="preserve">　　　a:建、构筑物与观测场围栏的水平距离（米）； </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lang w:val="en-US" w:eastAsia="zh-CN"/>
        </w:rPr>
      </w:pPr>
      <w:r>
        <w:rPr>
          <w:rFonts w:hint="default" w:ascii="Times New Roman" w:hAnsi="Times New Roman" w:eastAsia="仿宋_GB2312" w:cs="Times New Roman"/>
          <w:color w:val="000000" w:themeColor="text1"/>
          <w:szCs w:val="32"/>
          <w14:textFill>
            <w14:solidFill>
              <w14:schemeClr w14:val="tx1"/>
            </w14:solidFill>
          </w14:textFill>
        </w:rPr>
        <w:t>　　　h</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兴仁国家基本气象站海拔高度</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以黄海高程为基准</w:t>
      </w:r>
      <w:r>
        <w:rPr>
          <w:rFonts w:hint="default" w:ascii="Times New Roman" w:hAnsi="Times New Roman" w:cs="Times New Roman"/>
          <w:color w:val="000000" w:themeColor="text1"/>
          <w:szCs w:val="32"/>
          <w:lang w:eastAsia="zh-CN"/>
          <w14:textFill>
            <w14:solidFill>
              <w14:schemeClr w14:val="tx1"/>
            </w14:solidFill>
          </w14:textFill>
        </w:rPr>
        <w:t>）</w:t>
      </w:r>
      <w:r>
        <w:rPr>
          <w:rFonts w:hint="default" w:ascii="Times New Roman" w:hAnsi="Times New Roman" w:eastAsia="仿宋_GB2312" w:cs="Times New Roman"/>
          <w:color w:val="000000" w:themeColor="text1"/>
          <w:szCs w:val="32"/>
          <w14:textFill>
            <w14:solidFill>
              <w14:schemeClr w14:val="tx1"/>
            </w14:solidFill>
          </w14:textFill>
        </w:rPr>
        <w:t>（米），h=1697.9米。</w:t>
      </w:r>
      <w:bookmarkStart w:id="22" w:name="_GoBack"/>
      <w:bookmarkEnd w:id="22"/>
    </w:p>
    <w:sectPr>
      <w:headerReference r:id="rId3" w:type="default"/>
      <w:footerReference r:id="rId5" w:type="default"/>
      <w:headerReference r:id="rId4" w:type="even"/>
      <w:footerReference r:id="rId6" w:type="even"/>
      <w:pgSz w:w="11906" w:h="16838"/>
      <w:pgMar w:top="2098" w:right="1474" w:bottom="1984" w:left="1587" w:header="851" w:footer="1417" w:gutter="0"/>
      <w:pgBorders>
        <w:top w:val="none" w:sz="0" w:space="0"/>
        <w:left w:val="none" w:sz="0" w:space="0"/>
        <w:bottom w:val="none" w:sz="0" w:space="0"/>
        <w:right w:val="none" w:sz="0" w:space="0"/>
      </w:pgBorders>
      <w:pgNumType w:fmt="numberInDash"/>
      <w:cols w:space="720" w:num="1"/>
      <w:docGrid w:type="linesAndChars" w:linePitch="579" w:charSpace="-12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B64B34-2CE0-49FC-B0A9-505EA3F397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EA98EBE2-D3D3-4B99-A393-0B627BDBA4FE}"/>
  </w:font>
  <w:font w:name="Times-Roman">
    <w:altName w:val="Times New Roman"/>
    <w:panose1 w:val="00000000000000000000"/>
    <w:charset w:val="00"/>
    <w:family w:val="auto"/>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embedRegular r:id="rId3" w:fontKey="{800FB745-E9AE-4FD4-87E0-6B3550C4CCE3}"/>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4" w:fontKey="{33F37ABF-E737-4E1F-91BA-AA9638CB8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singleLevel"/>
    <w:tmpl w:val="0000000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documentProtection w:enforcement="0"/>
  <w:defaultTabStop w:val="420"/>
  <w:evenAndOddHeaders w:val="1"/>
  <w:drawingGridHorizontalSpacing w:val="157"/>
  <w:drawingGridVerticalSpacing w:val="579"/>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503B97C8-713F-425A-A58D-1AF8216B560E}" w:val="a2KndzZAD+49Y/=yISHQls6qU3fkRvMp7ChLNx5Goe0jgrPwEi8JWtcXFT1mOBbVu"/>
    <w:docVar w:name="commondata" w:val="eyJoZGlkIjoiZmQ0NGM3ZmYzNWE2ODk5ZTNiODUzMjg3NTBlZDAyOTUifQ=="/>
    <w:docVar w:name="DocumentID" w:val="{6AFBA880-1BDB-4499-A2EA-56918C190FB2}"/>
  </w:docVars>
  <w:rsids>
    <w:rsidRoot w:val="00172A27"/>
    <w:rsid w:val="00004E30"/>
    <w:rsid w:val="00022283"/>
    <w:rsid w:val="00022D69"/>
    <w:rsid w:val="0007031E"/>
    <w:rsid w:val="00073013"/>
    <w:rsid w:val="000C44F4"/>
    <w:rsid w:val="000D2170"/>
    <w:rsid w:val="00102E3A"/>
    <w:rsid w:val="001207EA"/>
    <w:rsid w:val="00150FAF"/>
    <w:rsid w:val="0016301B"/>
    <w:rsid w:val="00172A27"/>
    <w:rsid w:val="0018148F"/>
    <w:rsid w:val="00197AF0"/>
    <w:rsid w:val="00197C20"/>
    <w:rsid w:val="001D315C"/>
    <w:rsid w:val="001D74BB"/>
    <w:rsid w:val="001F54E5"/>
    <w:rsid w:val="00216140"/>
    <w:rsid w:val="00246EC6"/>
    <w:rsid w:val="00284C2B"/>
    <w:rsid w:val="002A0D76"/>
    <w:rsid w:val="002A66D0"/>
    <w:rsid w:val="002B021D"/>
    <w:rsid w:val="002E2A0B"/>
    <w:rsid w:val="002E6602"/>
    <w:rsid w:val="003077EB"/>
    <w:rsid w:val="0035163C"/>
    <w:rsid w:val="0035189F"/>
    <w:rsid w:val="00374169"/>
    <w:rsid w:val="00391234"/>
    <w:rsid w:val="003A45A9"/>
    <w:rsid w:val="003B67A5"/>
    <w:rsid w:val="003E646F"/>
    <w:rsid w:val="003F2549"/>
    <w:rsid w:val="00413970"/>
    <w:rsid w:val="00480E65"/>
    <w:rsid w:val="00497AD2"/>
    <w:rsid w:val="004A0E9C"/>
    <w:rsid w:val="004B3D93"/>
    <w:rsid w:val="004B7E2B"/>
    <w:rsid w:val="004C1AA4"/>
    <w:rsid w:val="004E223E"/>
    <w:rsid w:val="00500B74"/>
    <w:rsid w:val="00522E77"/>
    <w:rsid w:val="00533D2E"/>
    <w:rsid w:val="00556DDA"/>
    <w:rsid w:val="005A38A3"/>
    <w:rsid w:val="005A54FE"/>
    <w:rsid w:val="005D5FFB"/>
    <w:rsid w:val="005F5BA3"/>
    <w:rsid w:val="00601322"/>
    <w:rsid w:val="006019E4"/>
    <w:rsid w:val="00606A45"/>
    <w:rsid w:val="00623CB5"/>
    <w:rsid w:val="00633726"/>
    <w:rsid w:val="0063391F"/>
    <w:rsid w:val="00643548"/>
    <w:rsid w:val="0066587F"/>
    <w:rsid w:val="006B2E31"/>
    <w:rsid w:val="006C0325"/>
    <w:rsid w:val="006C31B0"/>
    <w:rsid w:val="006E34E8"/>
    <w:rsid w:val="006F01D7"/>
    <w:rsid w:val="007151FA"/>
    <w:rsid w:val="007209B1"/>
    <w:rsid w:val="00741F4E"/>
    <w:rsid w:val="007715C1"/>
    <w:rsid w:val="00787A1E"/>
    <w:rsid w:val="007A67E4"/>
    <w:rsid w:val="007B0411"/>
    <w:rsid w:val="007B1B19"/>
    <w:rsid w:val="007D435F"/>
    <w:rsid w:val="007E0050"/>
    <w:rsid w:val="007E2E38"/>
    <w:rsid w:val="00803484"/>
    <w:rsid w:val="0080583F"/>
    <w:rsid w:val="00813BFC"/>
    <w:rsid w:val="00823623"/>
    <w:rsid w:val="00825645"/>
    <w:rsid w:val="00866707"/>
    <w:rsid w:val="00877596"/>
    <w:rsid w:val="008872FB"/>
    <w:rsid w:val="0089144F"/>
    <w:rsid w:val="0089227B"/>
    <w:rsid w:val="00895BAB"/>
    <w:rsid w:val="00896D62"/>
    <w:rsid w:val="008C6B0D"/>
    <w:rsid w:val="008C7E63"/>
    <w:rsid w:val="008D1EB1"/>
    <w:rsid w:val="008E0F4F"/>
    <w:rsid w:val="008F6ABE"/>
    <w:rsid w:val="008F7E28"/>
    <w:rsid w:val="009005C6"/>
    <w:rsid w:val="00905AFB"/>
    <w:rsid w:val="009125A7"/>
    <w:rsid w:val="009618A8"/>
    <w:rsid w:val="0096333F"/>
    <w:rsid w:val="00966063"/>
    <w:rsid w:val="00997104"/>
    <w:rsid w:val="009A022D"/>
    <w:rsid w:val="009A3E38"/>
    <w:rsid w:val="009C7504"/>
    <w:rsid w:val="009E0233"/>
    <w:rsid w:val="009E6765"/>
    <w:rsid w:val="00A20D51"/>
    <w:rsid w:val="00A40EB6"/>
    <w:rsid w:val="00A53BC1"/>
    <w:rsid w:val="00A61A00"/>
    <w:rsid w:val="00A8094C"/>
    <w:rsid w:val="00A97963"/>
    <w:rsid w:val="00AD22E0"/>
    <w:rsid w:val="00AE48AD"/>
    <w:rsid w:val="00B07466"/>
    <w:rsid w:val="00B24966"/>
    <w:rsid w:val="00B27E3A"/>
    <w:rsid w:val="00B806A7"/>
    <w:rsid w:val="00B916FA"/>
    <w:rsid w:val="00B954D6"/>
    <w:rsid w:val="00B9598E"/>
    <w:rsid w:val="00BA707C"/>
    <w:rsid w:val="00BB0ED8"/>
    <w:rsid w:val="00BD59D0"/>
    <w:rsid w:val="00C12221"/>
    <w:rsid w:val="00C56F7E"/>
    <w:rsid w:val="00C70671"/>
    <w:rsid w:val="00C7585B"/>
    <w:rsid w:val="00CA2269"/>
    <w:rsid w:val="00CD3E5E"/>
    <w:rsid w:val="00CD63CA"/>
    <w:rsid w:val="00CE257F"/>
    <w:rsid w:val="00CE6A05"/>
    <w:rsid w:val="00D0594B"/>
    <w:rsid w:val="00D263BE"/>
    <w:rsid w:val="00D466FC"/>
    <w:rsid w:val="00D52C55"/>
    <w:rsid w:val="00D75D99"/>
    <w:rsid w:val="00DB73F7"/>
    <w:rsid w:val="00DD03A3"/>
    <w:rsid w:val="00DD2F81"/>
    <w:rsid w:val="00DE17F3"/>
    <w:rsid w:val="00DE6F56"/>
    <w:rsid w:val="00E00428"/>
    <w:rsid w:val="00E24ECB"/>
    <w:rsid w:val="00E41DA1"/>
    <w:rsid w:val="00E55F6B"/>
    <w:rsid w:val="00E86872"/>
    <w:rsid w:val="00EA6AD9"/>
    <w:rsid w:val="00EC68AD"/>
    <w:rsid w:val="00EC6A32"/>
    <w:rsid w:val="00ED0EA4"/>
    <w:rsid w:val="00EE6EBB"/>
    <w:rsid w:val="00F13503"/>
    <w:rsid w:val="00F26785"/>
    <w:rsid w:val="00F344EA"/>
    <w:rsid w:val="00F367DA"/>
    <w:rsid w:val="00F46CB8"/>
    <w:rsid w:val="00FA61D4"/>
    <w:rsid w:val="00FB3675"/>
    <w:rsid w:val="00FE06F6"/>
    <w:rsid w:val="00FE3C31"/>
    <w:rsid w:val="06344057"/>
    <w:rsid w:val="083A0E42"/>
    <w:rsid w:val="08B13CD4"/>
    <w:rsid w:val="0A9A158B"/>
    <w:rsid w:val="0C724C57"/>
    <w:rsid w:val="0E8B73B1"/>
    <w:rsid w:val="0F046CBD"/>
    <w:rsid w:val="0F6D0649"/>
    <w:rsid w:val="100B407B"/>
    <w:rsid w:val="122B27B2"/>
    <w:rsid w:val="13986D86"/>
    <w:rsid w:val="148E41A9"/>
    <w:rsid w:val="16E35F2F"/>
    <w:rsid w:val="179606CE"/>
    <w:rsid w:val="18FE6519"/>
    <w:rsid w:val="190C2466"/>
    <w:rsid w:val="1A453701"/>
    <w:rsid w:val="1B1068A2"/>
    <w:rsid w:val="1BB05426"/>
    <w:rsid w:val="1D512642"/>
    <w:rsid w:val="1E4C6229"/>
    <w:rsid w:val="22783373"/>
    <w:rsid w:val="252512E3"/>
    <w:rsid w:val="26234BC5"/>
    <w:rsid w:val="28CA0713"/>
    <w:rsid w:val="2B7821FA"/>
    <w:rsid w:val="2E197B70"/>
    <w:rsid w:val="349961E2"/>
    <w:rsid w:val="39462B58"/>
    <w:rsid w:val="39CB79B6"/>
    <w:rsid w:val="3B2A5B2A"/>
    <w:rsid w:val="3C7F4715"/>
    <w:rsid w:val="3E120998"/>
    <w:rsid w:val="3EC763CF"/>
    <w:rsid w:val="3F4463FE"/>
    <w:rsid w:val="3F852345"/>
    <w:rsid w:val="3FBB0440"/>
    <w:rsid w:val="432D65D5"/>
    <w:rsid w:val="43A12CD7"/>
    <w:rsid w:val="45360C68"/>
    <w:rsid w:val="49447537"/>
    <w:rsid w:val="4AD74A53"/>
    <w:rsid w:val="4D875343"/>
    <w:rsid w:val="507F6DD1"/>
    <w:rsid w:val="51FC4FF6"/>
    <w:rsid w:val="54773868"/>
    <w:rsid w:val="56A874FB"/>
    <w:rsid w:val="577A6876"/>
    <w:rsid w:val="58174604"/>
    <w:rsid w:val="587C0C3F"/>
    <w:rsid w:val="5889510A"/>
    <w:rsid w:val="5BD74DA9"/>
    <w:rsid w:val="5C6C2D78"/>
    <w:rsid w:val="5CB11796"/>
    <w:rsid w:val="5DE8123C"/>
    <w:rsid w:val="61EE1F93"/>
    <w:rsid w:val="62985829"/>
    <w:rsid w:val="6350735E"/>
    <w:rsid w:val="63F91059"/>
    <w:rsid w:val="6503505B"/>
    <w:rsid w:val="654D1974"/>
    <w:rsid w:val="67630D2F"/>
    <w:rsid w:val="68452C99"/>
    <w:rsid w:val="6A6C728A"/>
    <w:rsid w:val="6BAE7C70"/>
    <w:rsid w:val="6D02614C"/>
    <w:rsid w:val="6D875C64"/>
    <w:rsid w:val="6FB62961"/>
    <w:rsid w:val="706978A3"/>
    <w:rsid w:val="70ED2282"/>
    <w:rsid w:val="731A1ABF"/>
    <w:rsid w:val="76F86AAF"/>
    <w:rsid w:val="79AC6D7F"/>
    <w:rsid w:val="79FF21CB"/>
    <w:rsid w:val="7A066163"/>
    <w:rsid w:val="7ADA24B9"/>
    <w:rsid w:val="7B403C0F"/>
    <w:rsid w:val="7C0F727D"/>
    <w:rsid w:val="7F006CBC"/>
    <w:rsid w:val="9FEF5E49"/>
    <w:rsid w:val="CFF766AE"/>
    <w:rsid w:val="FEAF2CC8"/>
    <w:rsid w:val="FEFB59ED"/>
    <w:rsid w:val="FF22B269"/>
    <w:rsid w:val="FF4EF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4">
    <w:name w:val="Body Text"/>
    <w:basedOn w:val="1"/>
    <w:qFormat/>
    <w:uiPriority w:val="0"/>
    <w:pPr>
      <w:spacing w:after="120"/>
    </w:pPr>
  </w:style>
  <w:style w:type="paragraph" w:styleId="5">
    <w:name w:val="Body Text Indent"/>
    <w:basedOn w:val="1"/>
    <w:qFormat/>
    <w:uiPriority w:val="0"/>
    <w:pPr>
      <w:ind w:firstLine="632" w:firstLineChars="200"/>
    </w:pPr>
  </w:style>
  <w:style w:type="paragraph" w:styleId="6">
    <w:name w:val="Block Text"/>
    <w:basedOn w:val="1"/>
    <w:qFormat/>
    <w:uiPriority w:val="0"/>
    <w:pPr>
      <w:spacing w:line="560" w:lineRule="exact"/>
      <w:ind w:left="1259" w:leftChars="150" w:right="-6" w:rightChars="-3" w:hanging="944" w:hangingChars="295"/>
    </w:pPr>
    <w:rPr>
      <w:rFonts w:ascii="仿宋_GB2312"/>
    </w:rPr>
  </w:style>
  <w:style w:type="paragraph" w:styleId="7">
    <w:name w:val="Plain Text"/>
    <w:basedOn w:val="1"/>
    <w:qFormat/>
    <w:uiPriority w:val="0"/>
    <w:rPr>
      <w:rFonts w:ascii="宋体" w:hAnsi="Courier New" w:eastAsia="宋体" w:cs="Courier New"/>
      <w:sz w:val="21"/>
      <w:szCs w:val="21"/>
    </w:rPr>
  </w:style>
  <w:style w:type="paragraph" w:styleId="8">
    <w:name w:val="Date"/>
    <w:basedOn w:val="1"/>
    <w:next w:val="1"/>
    <w:qFormat/>
    <w:uiPriority w:val="0"/>
    <w:pPr>
      <w:ind w:left="100" w:leftChars="2500"/>
    </w:pPr>
  </w:style>
  <w:style w:type="paragraph" w:styleId="9">
    <w:name w:val="Body Text Indent 2"/>
    <w:basedOn w:val="1"/>
    <w:qFormat/>
    <w:uiPriority w:val="0"/>
    <w:pPr>
      <w:spacing w:line="500" w:lineRule="exact"/>
      <w:ind w:left="1257" w:leftChars="398"/>
    </w:pPr>
  </w:style>
  <w:style w:type="paragraph" w:styleId="10">
    <w:name w:val="Balloon Text"/>
    <w:basedOn w:val="1"/>
    <w:qFormat/>
    <w:uiPriority w:val="0"/>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Autospacing="1" w:after="100" w:afterAutospacing="1"/>
      <w:jc w:val="left"/>
    </w:pPr>
    <w:rPr>
      <w:rFonts w:ascii="宋体" w:hAnsi="宋体" w:eastAsia="宋体" w:cs="宋体"/>
      <w:color w:val="000000"/>
      <w:kern w:val="0"/>
      <w:sz w:val="24"/>
    </w:rPr>
  </w:style>
  <w:style w:type="character" w:styleId="15">
    <w:name w:val="Strong"/>
    <w:qFormat/>
    <w:uiPriority w:val="0"/>
    <w:rPr>
      <w:b/>
      <w:bCs/>
    </w:rPr>
  </w:style>
  <w:style w:type="character" w:styleId="16">
    <w:name w:val="page number"/>
    <w:qFormat/>
    <w:uiPriority w:val="0"/>
  </w:style>
  <w:style w:type="character" w:styleId="17">
    <w:name w:val="FollowedHyperlink"/>
    <w:qFormat/>
    <w:uiPriority w:val="0"/>
    <w:rPr>
      <w:color w:val="000000"/>
      <w:u w:val="none"/>
    </w:rPr>
  </w:style>
  <w:style w:type="character" w:styleId="18">
    <w:name w:val="Emphasis"/>
    <w:qFormat/>
    <w:uiPriority w:val="0"/>
  </w:style>
  <w:style w:type="character" w:styleId="19">
    <w:name w:val="Hyperlink"/>
    <w:qFormat/>
    <w:uiPriority w:val="0"/>
    <w:rPr>
      <w:color w:val="000000"/>
      <w:u w:val="none"/>
    </w:rPr>
  </w:style>
  <w:style w:type="paragraph" w:customStyle="1" w:styleId="20">
    <w:name w:val="首行缩进"/>
    <w:basedOn w:val="1"/>
    <w:qFormat/>
    <w:uiPriority w:val="0"/>
    <w:pPr>
      <w:ind w:firstLine="480" w:firstLineChars="200"/>
    </w:pPr>
    <w:rPr>
      <w:rFonts w:eastAsia="宋体"/>
      <w:lang w:val="zh-CN"/>
    </w:rPr>
  </w:style>
  <w:style w:type="character" w:customStyle="1" w:styleId="21">
    <w:name w:val="fontstyle31"/>
    <w:qFormat/>
    <w:uiPriority w:val="0"/>
    <w:rPr>
      <w:rFonts w:ascii="Symbol" w:hAnsi="Symbol" w:cs="Symbol"/>
      <w:color w:val="000000"/>
      <w:sz w:val="30"/>
      <w:szCs w:val="30"/>
    </w:rPr>
  </w:style>
  <w:style w:type="character" w:customStyle="1" w:styleId="22">
    <w:name w:val="fontstyle41"/>
    <w:qFormat/>
    <w:uiPriority w:val="0"/>
    <w:rPr>
      <w:rFonts w:ascii="Times-Roman" w:hAnsi="Times-Roman" w:eastAsia="Times New Roman" w:cs="Times-Roman"/>
      <w:color w:val="000000"/>
      <w:sz w:val="26"/>
      <w:szCs w:val="26"/>
    </w:rPr>
  </w:style>
  <w:style w:type="character" w:customStyle="1" w:styleId="23">
    <w:name w:val="fontstyle21"/>
    <w:qFormat/>
    <w:uiPriority w:val="0"/>
    <w:rPr>
      <w:rFonts w:ascii="Helvetica" w:hAnsi="Helvetica" w:eastAsia="Times New Roman" w:cs="Helvetica"/>
      <w:color w:val="000000"/>
      <w:sz w:val="28"/>
      <w:szCs w:val="28"/>
    </w:rPr>
  </w:style>
  <w:style w:type="character" w:customStyle="1" w:styleId="24">
    <w:name w:val="fontstyle01"/>
    <w:qFormat/>
    <w:uiPriority w:val="0"/>
    <w:rPr>
      <w:rFonts w:ascii="新宋体" w:hAnsi="新宋体" w:eastAsia="新宋体" w:cs="新宋体"/>
      <w:color w:val="000000"/>
      <w:sz w:val="60"/>
      <w:szCs w:val="60"/>
    </w:rPr>
  </w:style>
  <w:style w:type="paragraph" w:customStyle="1" w:styleId="2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cs="Verdana"/>
      <w:kern w:val="0"/>
      <w:sz w:val="24"/>
      <w:lang w:eastAsia="en-US"/>
    </w:rPr>
  </w:style>
  <w:style w:type="paragraph" w:customStyle="1" w:styleId="26">
    <w:name w:val="Char"/>
    <w:basedOn w:val="1"/>
    <w:qFormat/>
    <w:uiPriority w:val="0"/>
    <w:pPr>
      <w:tabs>
        <w:tab w:val="left" w:pos="4665"/>
        <w:tab w:val="left" w:pos="8970"/>
      </w:tabs>
      <w:ind w:firstLine="400"/>
    </w:pPr>
    <w:rPr>
      <w:rFonts w:ascii="Tahoma" w:hAnsi="Tahoma" w:eastAsia="宋体"/>
      <w:sz w:val="24"/>
      <w:szCs w:val="20"/>
    </w:rPr>
  </w:style>
  <w:style w:type="paragraph" w:customStyle="1" w:styleId="27">
    <w:name w:val="Char1"/>
    <w:basedOn w:val="1"/>
    <w:qFormat/>
    <w:uiPriority w:val="0"/>
    <w:pPr>
      <w:widowControl/>
      <w:spacing w:after="160" w:line="240" w:lineRule="exact"/>
      <w:jc w:val="left"/>
    </w:pPr>
    <w:rPr>
      <w:rFonts w:ascii="Verdana" w:hAnsi="Verdana" w:cs="Verdana"/>
      <w:kern w:val="0"/>
      <w:sz w:val="24"/>
      <w:szCs w:val="21"/>
      <w:lang w:eastAsia="en-US"/>
    </w:rPr>
  </w:style>
  <w:style w:type="paragraph" w:customStyle="1" w:styleId="28">
    <w:name w:val="reader-word-layer reader-word-s2-4"/>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9">
    <w:name w:val="p0"/>
    <w:basedOn w:val="1"/>
    <w:qFormat/>
    <w:uiPriority w:val="0"/>
    <w:pPr>
      <w:widowControl/>
    </w:pPr>
    <w:rPr>
      <w:rFonts w:eastAsia="宋体"/>
      <w:kern w:val="0"/>
      <w:sz w:val="21"/>
      <w:szCs w:val="21"/>
    </w:rPr>
  </w:style>
  <w:style w:type="paragraph" w:customStyle="1" w:styleId="30">
    <w:name w:val="content5"/>
    <w:basedOn w:val="1"/>
    <w:qFormat/>
    <w:uiPriority w:val="0"/>
    <w:pPr>
      <w:widowControl/>
      <w:spacing w:before="100" w:beforeAutospacing="1" w:after="100" w:afterAutospacing="1"/>
      <w:jc w:val="left"/>
    </w:pPr>
    <w:rPr>
      <w:rFonts w:ascii="宋体" w:hAnsi="宋体" w:eastAsia="宋体" w:cs="宋体"/>
      <w:color w:val="000000"/>
      <w:kern w:val="0"/>
      <w:sz w:val="24"/>
    </w:rPr>
  </w:style>
  <w:style w:type="paragraph" w:customStyle="1" w:styleId="31">
    <w:name w:val="Char Char Char Char"/>
    <w:basedOn w:val="1"/>
    <w:qFormat/>
    <w:uiPriority w:val="0"/>
  </w:style>
  <w:style w:type="paragraph" w:customStyle="1" w:styleId="32">
    <w:name w:val="列出段落1"/>
    <w:basedOn w:val="1"/>
    <w:qFormat/>
    <w:uiPriority w:val="0"/>
    <w:pPr>
      <w:ind w:firstLine="420" w:firstLineChars="200"/>
    </w:pPr>
    <w:rPr>
      <w:rFonts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852;&#20161;&#25506;&#27979;&#29615;&#22659;&#35268;&#21010;\&#22320;&#38754;&#27668;&#35937;&#35266;&#27979;&#31449;&#25506;&#27979;&#29615;&#22659;&#35843;&#26597;&#35780;&#20272;&#25253;&#21578;&#200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70070451719853"/>
          <c:y val="0.11358908624794"/>
          <c:w val="0.91657817501401"/>
          <c:h val="0.745965024720747"/>
        </c:manualLayout>
      </c:layout>
      <c:areaChart>
        <c:grouping val="standard"/>
        <c:varyColors val="0"/>
        <c:ser>
          <c:idx val="3"/>
          <c:order val="3"/>
          <c:spPr>
            <a:solidFill>
              <a:srgbClr val="0000FF"/>
            </a:solidFill>
            <a:ln w="12700">
              <a:solidFill>
                <a:srgbClr val="0000FF"/>
              </a:solidFill>
              <a:prstDash val="solid"/>
            </a:ln>
          </c:spPr>
          <c:dLbls>
            <c:delete val="1"/>
          </c:dLbls>
          <c:cat>
            <c:numRef>
              <c:f>'3'!$D$80:$GB$80</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cat>
          <c:val>
            <c:numRef>
              <c:f>'3'!$D$83:$GB$83</c:f>
              <c:numCache>
                <c:formatCode>0.0;[Red]0.0</c:formatCode>
                <c:ptCount val="18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numCache>
            </c:numRef>
          </c:val>
        </c:ser>
        <c:ser>
          <c:idx val="4"/>
          <c:order val="4"/>
          <c:spPr>
            <a:solidFill>
              <a:srgbClr val="00FF00"/>
            </a:solidFill>
            <a:ln w="12700">
              <a:solidFill>
                <a:srgbClr val="000000"/>
              </a:solidFill>
              <a:prstDash val="solid"/>
            </a:ln>
          </c:spPr>
          <c:dLbls>
            <c:delete val="1"/>
          </c:dLbls>
          <c:cat>
            <c:numRef>
              <c:f>'3'!$D$80:$GB$80</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cat>
          <c:val>
            <c:numRef>
              <c:f>'3'!$D$84:$GB$84</c:f>
              <c:numCache>
                <c:formatCode>0.0;[Red]0.0</c:formatCode>
                <c:ptCount val="181"/>
                <c:pt idx="0">
                  <c:v>2.16</c:v>
                </c:pt>
                <c:pt idx="1">
                  <c:v>4.19</c:v>
                </c:pt>
                <c:pt idx="2">
                  <c:v>6.29</c:v>
                </c:pt>
                <c:pt idx="3">
                  <c:v>6.43</c:v>
                </c:pt>
                <c:pt idx="4">
                  <c:v>6.41</c:v>
                </c:pt>
                <c:pt idx="5">
                  <c:v>6.52</c:v>
                </c:pt>
                <c:pt idx="6">
                  <c:v>8.12</c:v>
                </c:pt>
                <c:pt idx="7">
                  <c:v>8.3</c:v>
                </c:pt>
                <c:pt idx="8">
                  <c:v>7.5</c:v>
                </c:pt>
                <c:pt idx="9">
                  <c:v>7.49</c:v>
                </c:pt>
                <c:pt idx="10">
                  <c:v>4.49</c:v>
                </c:pt>
                <c:pt idx="11">
                  <c:v>0</c:v>
                </c:pt>
                <c:pt idx="12">
                  <c:v>3.37</c:v>
                </c:pt>
                <c:pt idx="13">
                  <c:v>4.16</c:v>
                </c:pt>
                <c:pt idx="14">
                  <c:v>0</c:v>
                </c:pt>
                <c:pt idx="15">
                  <c:v>2.1</c:v>
                </c:pt>
                <c:pt idx="16">
                  <c:v>1.12</c:v>
                </c:pt>
                <c:pt idx="17">
                  <c:v>2.42</c:v>
                </c:pt>
                <c:pt idx="18">
                  <c:v>4.19</c:v>
                </c:pt>
                <c:pt idx="19">
                  <c:v>4.26</c:v>
                </c:pt>
                <c:pt idx="20">
                  <c:v>0</c:v>
                </c:pt>
                <c:pt idx="21">
                  <c:v>0</c:v>
                </c:pt>
                <c:pt idx="22">
                  <c:v>0</c:v>
                </c:pt>
                <c:pt idx="23">
                  <c:v>0</c:v>
                </c:pt>
                <c:pt idx="24">
                  <c:v>0</c:v>
                </c:pt>
                <c:pt idx="25">
                  <c:v>0</c:v>
                </c:pt>
                <c:pt idx="26">
                  <c:v>0</c:v>
                </c:pt>
                <c:pt idx="27">
                  <c:v>0</c:v>
                </c:pt>
                <c:pt idx="28">
                  <c:v>3.28</c:v>
                </c:pt>
                <c:pt idx="29">
                  <c:v>4.04</c:v>
                </c:pt>
                <c:pt idx="30">
                  <c:v>2.39</c:v>
                </c:pt>
                <c:pt idx="31">
                  <c:v>2.33</c:v>
                </c:pt>
                <c:pt idx="32">
                  <c:v>0</c:v>
                </c:pt>
                <c:pt idx="33">
                  <c:v>1.53</c:v>
                </c:pt>
                <c:pt idx="34">
                  <c:v>3.12</c:v>
                </c:pt>
                <c:pt idx="35">
                  <c:v>2.18</c:v>
                </c:pt>
                <c:pt idx="36">
                  <c:v>2.24</c:v>
                </c:pt>
                <c:pt idx="37">
                  <c:v>2.14</c:v>
                </c:pt>
                <c:pt idx="38">
                  <c:v>2.27</c:v>
                </c:pt>
                <c:pt idx="39">
                  <c:v>1.39</c:v>
                </c:pt>
                <c:pt idx="40">
                  <c:v>2.1</c:v>
                </c:pt>
                <c:pt idx="41">
                  <c:v>3.03</c:v>
                </c:pt>
                <c:pt idx="42">
                  <c:v>8.56</c:v>
                </c:pt>
                <c:pt idx="43">
                  <c:v>3.41</c:v>
                </c:pt>
                <c:pt idx="44">
                  <c:v>3.37</c:v>
                </c:pt>
                <c:pt idx="45">
                  <c:v>3.2</c:v>
                </c:pt>
                <c:pt idx="46">
                  <c:v>3.06</c:v>
                </c:pt>
                <c:pt idx="47">
                  <c:v>1.27</c:v>
                </c:pt>
                <c:pt idx="48">
                  <c:v>3.29</c:v>
                </c:pt>
                <c:pt idx="49">
                  <c:v>1.46</c:v>
                </c:pt>
                <c:pt idx="50">
                  <c:v>4.43</c:v>
                </c:pt>
                <c:pt idx="51">
                  <c:v>4.02</c:v>
                </c:pt>
                <c:pt idx="52">
                  <c:v>4.02</c:v>
                </c:pt>
                <c:pt idx="53">
                  <c:v>4.03</c:v>
                </c:pt>
                <c:pt idx="54">
                  <c:v>4.32</c:v>
                </c:pt>
                <c:pt idx="55">
                  <c:v>2.18</c:v>
                </c:pt>
                <c:pt idx="56">
                  <c:v>2.55</c:v>
                </c:pt>
                <c:pt idx="57">
                  <c:v>1.47</c:v>
                </c:pt>
                <c:pt idx="58">
                  <c:v>3.11</c:v>
                </c:pt>
                <c:pt idx="59">
                  <c:v>2.36</c:v>
                </c:pt>
                <c:pt idx="60">
                  <c:v>1.45</c:v>
                </c:pt>
                <c:pt idx="61">
                  <c:v>3.47</c:v>
                </c:pt>
                <c:pt idx="62">
                  <c:v>1.28</c:v>
                </c:pt>
                <c:pt idx="63">
                  <c:v>2.51</c:v>
                </c:pt>
                <c:pt idx="64">
                  <c:v>2.29</c:v>
                </c:pt>
                <c:pt idx="65">
                  <c:v>0</c:v>
                </c:pt>
                <c:pt idx="66">
                  <c:v>2.35</c:v>
                </c:pt>
                <c:pt idx="67">
                  <c:v>3.08</c:v>
                </c:pt>
                <c:pt idx="68">
                  <c:v>3.58</c:v>
                </c:pt>
                <c:pt idx="69">
                  <c:v>3.29</c:v>
                </c:pt>
                <c:pt idx="70">
                  <c:v>2.2</c:v>
                </c:pt>
                <c:pt idx="71">
                  <c:v>1.58</c:v>
                </c:pt>
                <c:pt idx="72">
                  <c:v>2.07</c:v>
                </c:pt>
                <c:pt idx="73">
                  <c:v>2.13</c:v>
                </c:pt>
                <c:pt idx="74">
                  <c:v>2.15</c:v>
                </c:pt>
                <c:pt idx="75">
                  <c:v>1.57</c:v>
                </c:pt>
                <c:pt idx="76">
                  <c:v>0</c:v>
                </c:pt>
                <c:pt idx="77">
                  <c:v>0</c:v>
                </c:pt>
                <c:pt idx="78">
                  <c:v>0</c:v>
                </c:pt>
                <c:pt idx="79">
                  <c:v>0</c:v>
                </c:pt>
                <c:pt idx="80">
                  <c:v>1.12</c:v>
                </c:pt>
                <c:pt idx="81">
                  <c:v>2</c:v>
                </c:pt>
                <c:pt idx="82">
                  <c:v>2.38</c:v>
                </c:pt>
                <c:pt idx="83">
                  <c:v>0</c:v>
                </c:pt>
                <c:pt idx="84">
                  <c:v>0</c:v>
                </c:pt>
                <c:pt idx="85">
                  <c:v>3</c:v>
                </c:pt>
                <c:pt idx="86">
                  <c:v>1.32</c:v>
                </c:pt>
                <c:pt idx="87">
                  <c:v>2.04</c:v>
                </c:pt>
                <c:pt idx="88">
                  <c:v>0</c:v>
                </c:pt>
                <c:pt idx="89">
                  <c:v>0</c:v>
                </c:pt>
                <c:pt idx="90">
                  <c:v>0</c:v>
                </c:pt>
                <c:pt idx="91">
                  <c:v>3.22</c:v>
                </c:pt>
                <c:pt idx="92">
                  <c:v>2.09</c:v>
                </c:pt>
                <c:pt idx="93">
                  <c:v>2.11</c:v>
                </c:pt>
                <c:pt idx="94">
                  <c:v>0</c:v>
                </c:pt>
                <c:pt idx="95">
                  <c:v>0</c:v>
                </c:pt>
                <c:pt idx="96">
                  <c:v>0</c:v>
                </c:pt>
                <c:pt idx="97">
                  <c:v>0</c:v>
                </c:pt>
                <c:pt idx="98">
                  <c:v>0</c:v>
                </c:pt>
                <c:pt idx="99">
                  <c:v>0</c:v>
                </c:pt>
                <c:pt idx="100">
                  <c:v>1.43</c:v>
                </c:pt>
                <c:pt idx="101">
                  <c:v>0</c:v>
                </c:pt>
                <c:pt idx="102">
                  <c:v>0</c:v>
                </c:pt>
                <c:pt idx="103">
                  <c:v>0</c:v>
                </c:pt>
                <c:pt idx="104">
                  <c:v>3.52</c:v>
                </c:pt>
                <c:pt idx="105">
                  <c:v>0</c:v>
                </c:pt>
                <c:pt idx="106">
                  <c:v>0</c:v>
                </c:pt>
                <c:pt idx="107">
                  <c:v>0</c:v>
                </c:pt>
                <c:pt idx="108">
                  <c:v>0</c:v>
                </c:pt>
                <c:pt idx="109">
                  <c:v>0</c:v>
                </c:pt>
                <c:pt idx="110">
                  <c:v>1.18</c:v>
                </c:pt>
                <c:pt idx="111">
                  <c:v>0</c:v>
                </c:pt>
                <c:pt idx="112">
                  <c:v>2.57</c:v>
                </c:pt>
                <c:pt idx="113">
                  <c:v>1.25</c:v>
                </c:pt>
                <c:pt idx="114">
                  <c:v>2.08</c:v>
                </c:pt>
                <c:pt idx="115">
                  <c:v>1.36</c:v>
                </c:pt>
                <c:pt idx="116">
                  <c:v>1.09</c:v>
                </c:pt>
                <c:pt idx="117">
                  <c:v>1.48</c:v>
                </c:pt>
                <c:pt idx="118">
                  <c:v>2.33</c:v>
                </c:pt>
                <c:pt idx="119">
                  <c:v>0</c:v>
                </c:pt>
                <c:pt idx="120">
                  <c:v>0</c:v>
                </c:pt>
                <c:pt idx="121">
                  <c:v>1.19</c:v>
                </c:pt>
                <c:pt idx="122">
                  <c:v>0.58</c:v>
                </c:pt>
                <c:pt idx="123">
                  <c:v>0.41</c:v>
                </c:pt>
                <c:pt idx="124">
                  <c:v>0</c:v>
                </c:pt>
                <c:pt idx="125">
                  <c:v>1.36</c:v>
                </c:pt>
                <c:pt idx="126">
                  <c:v>0.51</c:v>
                </c:pt>
                <c:pt idx="127">
                  <c:v>1.04</c:v>
                </c:pt>
                <c:pt idx="128">
                  <c:v>0</c:v>
                </c:pt>
                <c:pt idx="129">
                  <c:v>0.55</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0.12</c:v>
                </c:pt>
                <c:pt idx="144">
                  <c:v>0</c:v>
                </c:pt>
                <c:pt idx="145">
                  <c:v>0.14</c:v>
                </c:pt>
                <c:pt idx="146">
                  <c:v>0.19</c:v>
                </c:pt>
                <c:pt idx="147">
                  <c:v>0.41</c:v>
                </c:pt>
                <c:pt idx="148">
                  <c:v>0.11</c:v>
                </c:pt>
                <c:pt idx="149">
                  <c:v>0.12</c:v>
                </c:pt>
                <c:pt idx="150">
                  <c:v>0.3</c:v>
                </c:pt>
                <c:pt idx="151">
                  <c:v>0.28</c:v>
                </c:pt>
                <c:pt idx="152">
                  <c:v>1.08</c:v>
                </c:pt>
                <c:pt idx="153">
                  <c:v>1.13</c:v>
                </c:pt>
                <c:pt idx="154">
                  <c:v>0.53</c:v>
                </c:pt>
                <c:pt idx="155">
                  <c:v>0.42</c:v>
                </c:pt>
                <c:pt idx="156">
                  <c:v>0.42</c:v>
                </c:pt>
                <c:pt idx="157">
                  <c:v>0.29</c:v>
                </c:pt>
                <c:pt idx="158">
                  <c:v>0.41</c:v>
                </c:pt>
                <c:pt idx="159">
                  <c:v>0.2</c:v>
                </c:pt>
                <c:pt idx="160">
                  <c:v>0</c:v>
                </c:pt>
                <c:pt idx="161">
                  <c:v>0</c:v>
                </c:pt>
                <c:pt idx="162">
                  <c:v>0</c:v>
                </c:pt>
                <c:pt idx="163">
                  <c:v>0.47</c:v>
                </c:pt>
                <c:pt idx="164">
                  <c:v>2.51</c:v>
                </c:pt>
                <c:pt idx="165">
                  <c:v>7.13</c:v>
                </c:pt>
                <c:pt idx="166">
                  <c:v>6.24</c:v>
                </c:pt>
                <c:pt idx="167">
                  <c:v>0</c:v>
                </c:pt>
                <c:pt idx="168">
                  <c:v>0</c:v>
                </c:pt>
                <c:pt idx="169">
                  <c:v>1.36</c:v>
                </c:pt>
                <c:pt idx="170">
                  <c:v>0</c:v>
                </c:pt>
                <c:pt idx="171">
                  <c:v>0</c:v>
                </c:pt>
                <c:pt idx="172">
                  <c:v>0</c:v>
                </c:pt>
                <c:pt idx="173">
                  <c:v>0</c:v>
                </c:pt>
                <c:pt idx="174">
                  <c:v>5.34</c:v>
                </c:pt>
                <c:pt idx="175">
                  <c:v>2.45</c:v>
                </c:pt>
                <c:pt idx="176">
                  <c:v>5.49</c:v>
                </c:pt>
                <c:pt idx="177">
                  <c:v>6.55</c:v>
                </c:pt>
                <c:pt idx="178">
                  <c:v>6.58</c:v>
                </c:pt>
                <c:pt idx="179">
                  <c:v>6.04</c:v>
                </c:pt>
                <c:pt idx="180">
                  <c:v>2.16</c:v>
                </c:pt>
              </c:numCache>
            </c:numRef>
          </c:val>
        </c:ser>
        <c:ser>
          <c:idx val="5"/>
          <c:order val="5"/>
          <c:spPr>
            <a:solidFill>
              <a:srgbClr val="FFCC99"/>
            </a:solidFill>
            <a:ln w="12700">
              <a:solidFill>
                <a:srgbClr val="000000"/>
              </a:solidFill>
              <a:prstDash val="solid"/>
            </a:ln>
          </c:spPr>
          <c:dLbls>
            <c:delete val="1"/>
          </c:dLbls>
          <c:cat>
            <c:numRef>
              <c:f>'3'!$D$80:$GB$80</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cat>
          <c:val>
            <c:numRef>
              <c:f>'3'!$D$85:$GB$85</c:f>
              <c:numCache>
                <c:formatCode>0.0;[Red]0.0</c:formatCode>
                <c:ptCount val="181"/>
                <c:pt idx="0">
                  <c:v>3.01</c:v>
                </c:pt>
                <c:pt idx="1">
                  <c:v>3</c:v>
                </c:pt>
                <c:pt idx="2">
                  <c:v>0</c:v>
                </c:pt>
                <c:pt idx="3">
                  <c:v>0</c:v>
                </c:pt>
                <c:pt idx="4">
                  <c:v>0</c:v>
                </c:pt>
                <c:pt idx="5">
                  <c:v>0</c:v>
                </c:pt>
                <c:pt idx="6">
                  <c:v>0</c:v>
                </c:pt>
                <c:pt idx="7">
                  <c:v>0</c:v>
                </c:pt>
                <c:pt idx="8">
                  <c:v>0</c:v>
                </c:pt>
                <c:pt idx="9">
                  <c:v>0</c:v>
                </c:pt>
                <c:pt idx="10">
                  <c:v>0</c:v>
                </c:pt>
                <c:pt idx="11">
                  <c:v>3.33</c:v>
                </c:pt>
                <c:pt idx="12">
                  <c:v>0</c:v>
                </c:pt>
                <c:pt idx="13">
                  <c:v>3.13</c:v>
                </c:pt>
                <c:pt idx="14">
                  <c:v>2.11</c:v>
                </c:pt>
                <c:pt idx="15">
                  <c:v>2.28</c:v>
                </c:pt>
                <c:pt idx="16">
                  <c:v>4.52</c:v>
                </c:pt>
                <c:pt idx="17">
                  <c:v>0.24</c:v>
                </c:pt>
                <c:pt idx="18">
                  <c:v>2.28</c:v>
                </c:pt>
                <c:pt idx="19">
                  <c:v>3.22</c:v>
                </c:pt>
                <c:pt idx="20">
                  <c:v>4.36</c:v>
                </c:pt>
                <c:pt idx="21">
                  <c:v>5.11</c:v>
                </c:pt>
                <c:pt idx="22">
                  <c:v>4.58</c:v>
                </c:pt>
                <c:pt idx="23">
                  <c:v>4.28</c:v>
                </c:pt>
                <c:pt idx="24">
                  <c:v>4.28</c:v>
                </c:pt>
                <c:pt idx="25">
                  <c:v>4.13</c:v>
                </c:pt>
                <c:pt idx="26">
                  <c:v>5.55</c:v>
                </c:pt>
                <c:pt idx="27">
                  <c:v>4.59</c:v>
                </c:pt>
                <c:pt idx="28">
                  <c:v>0</c:v>
                </c:pt>
                <c:pt idx="29">
                  <c:v>5.5</c:v>
                </c:pt>
                <c:pt idx="30">
                  <c:v>0</c:v>
                </c:pt>
                <c:pt idx="31">
                  <c:v>0</c:v>
                </c:pt>
                <c:pt idx="32">
                  <c:v>3.33</c:v>
                </c:pt>
                <c:pt idx="33">
                  <c:v>2.52</c:v>
                </c:pt>
                <c:pt idx="34">
                  <c:v>0</c:v>
                </c:pt>
                <c:pt idx="35">
                  <c:v>2.3</c:v>
                </c:pt>
                <c:pt idx="36">
                  <c:v>0.51</c:v>
                </c:pt>
                <c:pt idx="37">
                  <c:v>0.53</c:v>
                </c:pt>
                <c:pt idx="38">
                  <c:v>2.58</c:v>
                </c:pt>
                <c:pt idx="39">
                  <c:v>3.06</c:v>
                </c:pt>
                <c:pt idx="40">
                  <c:v>6.09</c:v>
                </c:pt>
                <c:pt idx="41">
                  <c:v>0</c:v>
                </c:pt>
                <c:pt idx="42">
                  <c:v>0</c:v>
                </c:pt>
                <c:pt idx="43">
                  <c:v>0</c:v>
                </c:pt>
                <c:pt idx="44">
                  <c:v>0</c:v>
                </c:pt>
                <c:pt idx="45">
                  <c:v>0</c:v>
                </c:pt>
                <c:pt idx="46">
                  <c:v>4.17</c:v>
                </c:pt>
                <c:pt idx="47">
                  <c:v>0</c:v>
                </c:pt>
                <c:pt idx="48">
                  <c:v>0</c:v>
                </c:pt>
                <c:pt idx="49">
                  <c:v>1.04</c:v>
                </c:pt>
                <c:pt idx="50">
                  <c:v>0</c:v>
                </c:pt>
                <c:pt idx="51">
                  <c:v>0</c:v>
                </c:pt>
                <c:pt idx="52">
                  <c:v>0</c:v>
                </c:pt>
                <c:pt idx="53">
                  <c:v>4.57</c:v>
                </c:pt>
                <c:pt idx="54">
                  <c:v>0</c:v>
                </c:pt>
                <c:pt idx="55">
                  <c:v>5.31</c:v>
                </c:pt>
                <c:pt idx="56">
                  <c:v>4.59</c:v>
                </c:pt>
                <c:pt idx="57">
                  <c:v>5.15</c:v>
                </c:pt>
                <c:pt idx="58">
                  <c:v>5.23</c:v>
                </c:pt>
                <c:pt idx="59">
                  <c:v>5.19</c:v>
                </c:pt>
                <c:pt idx="60">
                  <c:v>4.42</c:v>
                </c:pt>
                <c:pt idx="61">
                  <c:v>4.54</c:v>
                </c:pt>
                <c:pt idx="62">
                  <c:v>5.1</c:v>
                </c:pt>
                <c:pt idx="63">
                  <c:v>6.09</c:v>
                </c:pt>
                <c:pt idx="64">
                  <c:v>5.39</c:v>
                </c:pt>
                <c:pt idx="65">
                  <c:v>5.32</c:v>
                </c:pt>
                <c:pt idx="66">
                  <c:v>4.41</c:v>
                </c:pt>
                <c:pt idx="67">
                  <c:v>4.06</c:v>
                </c:pt>
                <c:pt idx="68">
                  <c:v>0</c:v>
                </c:pt>
                <c:pt idx="69">
                  <c:v>0</c:v>
                </c:pt>
                <c:pt idx="70">
                  <c:v>2.47</c:v>
                </c:pt>
                <c:pt idx="71">
                  <c:v>3.48</c:v>
                </c:pt>
                <c:pt idx="72">
                  <c:v>4.31</c:v>
                </c:pt>
                <c:pt idx="73">
                  <c:v>3.15</c:v>
                </c:pt>
                <c:pt idx="74">
                  <c:v>2.41</c:v>
                </c:pt>
                <c:pt idx="75">
                  <c:v>2.42</c:v>
                </c:pt>
                <c:pt idx="76">
                  <c:v>2.24</c:v>
                </c:pt>
                <c:pt idx="77">
                  <c:v>2.48</c:v>
                </c:pt>
                <c:pt idx="78">
                  <c:v>2.49</c:v>
                </c:pt>
                <c:pt idx="79">
                  <c:v>2.51</c:v>
                </c:pt>
                <c:pt idx="80">
                  <c:v>2.52</c:v>
                </c:pt>
                <c:pt idx="81">
                  <c:v>2.54</c:v>
                </c:pt>
                <c:pt idx="82">
                  <c:v>0</c:v>
                </c:pt>
                <c:pt idx="83">
                  <c:v>3.06</c:v>
                </c:pt>
                <c:pt idx="84">
                  <c:v>3.13</c:v>
                </c:pt>
                <c:pt idx="85">
                  <c:v>0</c:v>
                </c:pt>
                <c:pt idx="86">
                  <c:v>3.07</c:v>
                </c:pt>
                <c:pt idx="87">
                  <c:v>3.06</c:v>
                </c:pt>
                <c:pt idx="88">
                  <c:v>3.06</c:v>
                </c:pt>
                <c:pt idx="89">
                  <c:v>3.05</c:v>
                </c:pt>
                <c:pt idx="90">
                  <c:v>2.11</c:v>
                </c:pt>
                <c:pt idx="91">
                  <c:v>0</c:v>
                </c:pt>
                <c:pt idx="92">
                  <c:v>2.01</c:v>
                </c:pt>
                <c:pt idx="93">
                  <c:v>1.59</c:v>
                </c:pt>
                <c:pt idx="94">
                  <c:v>1.57</c:v>
                </c:pt>
                <c:pt idx="95">
                  <c:v>1.41</c:v>
                </c:pt>
                <c:pt idx="96">
                  <c:v>2.2</c:v>
                </c:pt>
                <c:pt idx="97">
                  <c:v>2.13</c:v>
                </c:pt>
                <c:pt idx="98">
                  <c:v>1.14</c:v>
                </c:pt>
                <c:pt idx="99">
                  <c:v>1.44</c:v>
                </c:pt>
                <c:pt idx="100">
                  <c:v>1.23</c:v>
                </c:pt>
                <c:pt idx="101">
                  <c:v>1.36</c:v>
                </c:pt>
                <c:pt idx="102">
                  <c:v>1.28</c:v>
                </c:pt>
                <c:pt idx="103">
                  <c:v>1.58</c:v>
                </c:pt>
                <c:pt idx="104">
                  <c:v>2.12</c:v>
                </c:pt>
                <c:pt idx="105">
                  <c:v>2.08</c:v>
                </c:pt>
                <c:pt idx="106">
                  <c:v>2.04</c:v>
                </c:pt>
                <c:pt idx="107">
                  <c:v>1.38</c:v>
                </c:pt>
                <c:pt idx="108">
                  <c:v>1.16</c:v>
                </c:pt>
                <c:pt idx="109">
                  <c:v>0.570000000000001</c:v>
                </c:pt>
                <c:pt idx="110">
                  <c:v>1.14</c:v>
                </c:pt>
                <c:pt idx="111">
                  <c:v>1.34</c:v>
                </c:pt>
                <c:pt idx="112">
                  <c:v>0</c:v>
                </c:pt>
                <c:pt idx="113">
                  <c:v>0</c:v>
                </c:pt>
                <c:pt idx="114">
                  <c:v>0</c:v>
                </c:pt>
                <c:pt idx="115">
                  <c:v>1.06</c:v>
                </c:pt>
                <c:pt idx="116">
                  <c:v>0</c:v>
                </c:pt>
                <c:pt idx="117">
                  <c:v>0</c:v>
                </c:pt>
                <c:pt idx="118">
                  <c:v>0</c:v>
                </c:pt>
                <c:pt idx="119">
                  <c:v>1</c:v>
                </c:pt>
                <c:pt idx="120">
                  <c:v>1.19</c:v>
                </c:pt>
                <c:pt idx="121">
                  <c:v>1.34</c:v>
                </c:pt>
                <c:pt idx="122">
                  <c:v>0</c:v>
                </c:pt>
                <c:pt idx="123">
                  <c:v>0</c:v>
                </c:pt>
                <c:pt idx="124">
                  <c:v>0.58</c:v>
                </c:pt>
                <c:pt idx="125">
                  <c:v>0</c:v>
                </c:pt>
                <c:pt idx="126">
                  <c:v>0</c:v>
                </c:pt>
                <c:pt idx="127">
                  <c:v>0</c:v>
                </c:pt>
                <c:pt idx="128">
                  <c:v>0.46</c:v>
                </c:pt>
                <c:pt idx="129">
                  <c:v>0</c:v>
                </c:pt>
                <c:pt idx="130">
                  <c:v>0.35</c:v>
                </c:pt>
                <c:pt idx="131">
                  <c:v>14.05</c:v>
                </c:pt>
                <c:pt idx="132">
                  <c:v>0.58</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0.1</c:v>
                </c:pt>
                <c:pt idx="161">
                  <c:v>0.52</c:v>
                </c:pt>
                <c:pt idx="162">
                  <c:v>0.52</c:v>
                </c:pt>
                <c:pt idx="163">
                  <c:v>0</c:v>
                </c:pt>
                <c:pt idx="164">
                  <c:v>0.43</c:v>
                </c:pt>
                <c:pt idx="165">
                  <c:v>0</c:v>
                </c:pt>
                <c:pt idx="166">
                  <c:v>0.34</c:v>
                </c:pt>
                <c:pt idx="167">
                  <c:v>3.2</c:v>
                </c:pt>
                <c:pt idx="168">
                  <c:v>3.24</c:v>
                </c:pt>
                <c:pt idx="169">
                  <c:v>0</c:v>
                </c:pt>
                <c:pt idx="170">
                  <c:v>0.48</c:v>
                </c:pt>
                <c:pt idx="171">
                  <c:v>2.4</c:v>
                </c:pt>
                <c:pt idx="172">
                  <c:v>2.4</c:v>
                </c:pt>
                <c:pt idx="173">
                  <c:v>2.39</c:v>
                </c:pt>
                <c:pt idx="174">
                  <c:v>0</c:v>
                </c:pt>
                <c:pt idx="175">
                  <c:v>0</c:v>
                </c:pt>
                <c:pt idx="176">
                  <c:v>0</c:v>
                </c:pt>
                <c:pt idx="177">
                  <c:v>2.19</c:v>
                </c:pt>
                <c:pt idx="178">
                  <c:v>3</c:v>
                </c:pt>
                <c:pt idx="179">
                  <c:v>2.59</c:v>
                </c:pt>
                <c:pt idx="180">
                  <c:v>3.01</c:v>
                </c:pt>
              </c:numCache>
            </c:numRef>
          </c:val>
        </c:ser>
        <c:dLbls>
          <c:showLegendKey val="0"/>
          <c:showVal val="0"/>
          <c:showCatName val="0"/>
          <c:showSerName val="0"/>
          <c:showPercent val="0"/>
          <c:showBubbleSize val="0"/>
        </c:dLbls>
        <c:axId val="123089280"/>
        <c:axId val="123091200"/>
      </c:areaChart>
      <c:lineChart>
        <c:grouping val="standard"/>
        <c:varyColors val="0"/>
        <c:ser>
          <c:idx val="0"/>
          <c:order val="0"/>
          <c:spPr>
            <a:ln w="25400" cap="rnd" cmpd="sng" algn="ctr">
              <a:solidFill>
                <a:srgbClr val="FF0000"/>
              </a:solidFill>
              <a:prstDash val="solid"/>
              <a:round/>
            </a:ln>
          </c:spPr>
          <c:marker>
            <c:symbol val="none"/>
          </c:marker>
          <c:dLbls>
            <c:delete val="1"/>
          </c:dLbls>
          <c:cat>
            <c:numRef>
              <c:f>'3'!$D$80:$GB$80</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cat>
          <c:val>
            <c:numRef>
              <c:f>'3'!#REF!</c:f>
              <c:numCache>
                <c:formatCode>General</c:formatCode>
                <c:ptCount val="1"/>
                <c:pt idx="0">
                  <c:v>1</c:v>
                </c:pt>
              </c:numCache>
            </c:numRef>
          </c:val>
          <c:smooth val="0"/>
        </c:ser>
        <c:ser>
          <c:idx val="1"/>
          <c:order val="1"/>
          <c:spPr>
            <a:ln w="25400" cap="rnd" cmpd="sng" algn="ctr">
              <a:solidFill>
                <a:srgbClr val="FF0000"/>
              </a:solidFill>
              <a:prstDash val="solid"/>
              <a:round/>
            </a:ln>
          </c:spPr>
          <c:marker>
            <c:symbol val="none"/>
          </c:marker>
          <c:dLbls>
            <c:delete val="1"/>
          </c:dLbls>
          <c:cat>
            <c:numRef>
              <c:f>'3'!$D$80:$GB$80</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cat>
          <c:val>
            <c:numRef>
              <c:f>'3'!$D$81:$GB$81</c:f>
              <c:numCache>
                <c:formatCode>General</c:formatCode>
                <c:ptCount val="181"/>
                <c:pt idx="0">
                  <c:v>7.13</c:v>
                </c:pt>
                <c:pt idx="1">
                  <c:v>7.13</c:v>
                </c:pt>
                <c:pt idx="2">
                  <c:v>7.13</c:v>
                </c:pt>
                <c:pt idx="3">
                  <c:v>7.13</c:v>
                </c:pt>
                <c:pt idx="4">
                  <c:v>7.13</c:v>
                </c:pt>
                <c:pt idx="5">
                  <c:v>7.13</c:v>
                </c:pt>
                <c:pt idx="6">
                  <c:v>7.13</c:v>
                </c:pt>
                <c:pt idx="7">
                  <c:v>7.13</c:v>
                </c:pt>
                <c:pt idx="8">
                  <c:v>7.13</c:v>
                </c:pt>
                <c:pt idx="9">
                  <c:v>7.13</c:v>
                </c:pt>
                <c:pt idx="10">
                  <c:v>7.13</c:v>
                </c:pt>
                <c:pt idx="11">
                  <c:v>7.13</c:v>
                </c:pt>
                <c:pt idx="12">
                  <c:v>7.13</c:v>
                </c:pt>
                <c:pt idx="13">
                  <c:v>7.13</c:v>
                </c:pt>
                <c:pt idx="14">
                  <c:v>7.13</c:v>
                </c:pt>
                <c:pt idx="15">
                  <c:v>7.13</c:v>
                </c:pt>
                <c:pt idx="16">
                  <c:v>7.13</c:v>
                </c:pt>
                <c:pt idx="17">
                  <c:v>7.13</c:v>
                </c:pt>
                <c:pt idx="18">
                  <c:v>7.13</c:v>
                </c:pt>
                <c:pt idx="19">
                  <c:v>7.13</c:v>
                </c:pt>
                <c:pt idx="20">
                  <c:v>7.13</c:v>
                </c:pt>
                <c:pt idx="21">
                  <c:v>7.13</c:v>
                </c:pt>
                <c:pt idx="22">
                  <c:v>7.13</c:v>
                </c:pt>
                <c:pt idx="23">
                  <c:v>7.13</c:v>
                </c:pt>
                <c:pt idx="24">
                  <c:v>7.13</c:v>
                </c:pt>
                <c:pt idx="25">
                  <c:v>7.13</c:v>
                </c:pt>
                <c:pt idx="26">
                  <c:v>7.13</c:v>
                </c:pt>
                <c:pt idx="27">
                  <c:v>7.13</c:v>
                </c:pt>
                <c:pt idx="28">
                  <c:v>7.13</c:v>
                </c:pt>
                <c:pt idx="29">
                  <c:v>7.13</c:v>
                </c:pt>
                <c:pt idx="30">
                  <c:v>7.13</c:v>
                </c:pt>
                <c:pt idx="31">
                  <c:v>7.13</c:v>
                </c:pt>
                <c:pt idx="32">
                  <c:v>7.13</c:v>
                </c:pt>
                <c:pt idx="33">
                  <c:v>7.13</c:v>
                </c:pt>
                <c:pt idx="34">
                  <c:v>7.13</c:v>
                </c:pt>
                <c:pt idx="35">
                  <c:v>7.13</c:v>
                </c:pt>
                <c:pt idx="36">
                  <c:v>7.13</c:v>
                </c:pt>
                <c:pt idx="37">
                  <c:v>7.13</c:v>
                </c:pt>
                <c:pt idx="38">
                  <c:v>7.13</c:v>
                </c:pt>
                <c:pt idx="39">
                  <c:v>7.13</c:v>
                </c:pt>
                <c:pt idx="40">
                  <c:v>7.13</c:v>
                </c:pt>
                <c:pt idx="41">
                  <c:v>7.13</c:v>
                </c:pt>
                <c:pt idx="42">
                  <c:v>7.13</c:v>
                </c:pt>
                <c:pt idx="43">
                  <c:v>7.13</c:v>
                </c:pt>
                <c:pt idx="44">
                  <c:v>7.13</c:v>
                </c:pt>
                <c:pt idx="45">
                  <c:v>7.13</c:v>
                </c:pt>
                <c:pt idx="46">
                  <c:v>7.13</c:v>
                </c:pt>
                <c:pt idx="47">
                  <c:v>7.13</c:v>
                </c:pt>
                <c:pt idx="48">
                  <c:v>7.13</c:v>
                </c:pt>
                <c:pt idx="49">
                  <c:v>7.13</c:v>
                </c:pt>
                <c:pt idx="50">
                  <c:v>7.13</c:v>
                </c:pt>
                <c:pt idx="51">
                  <c:v>7.13</c:v>
                </c:pt>
                <c:pt idx="52">
                  <c:v>7.13</c:v>
                </c:pt>
                <c:pt idx="53">
                  <c:v>7.13</c:v>
                </c:pt>
                <c:pt idx="54">
                  <c:v>7.13</c:v>
                </c:pt>
                <c:pt idx="55">
                  <c:v>7.13</c:v>
                </c:pt>
                <c:pt idx="56">
                  <c:v>7.13</c:v>
                </c:pt>
                <c:pt idx="57">
                  <c:v>7.13</c:v>
                </c:pt>
                <c:pt idx="58">
                  <c:v>7.13</c:v>
                </c:pt>
                <c:pt idx="59">
                  <c:v>7.13</c:v>
                </c:pt>
                <c:pt idx="60">
                  <c:v>7.13</c:v>
                </c:pt>
                <c:pt idx="61">
                  <c:v>7.13</c:v>
                </c:pt>
                <c:pt idx="62">
                  <c:v>7.13</c:v>
                </c:pt>
                <c:pt idx="63">
                  <c:v>7.13</c:v>
                </c:pt>
                <c:pt idx="64">
                  <c:v>7.13</c:v>
                </c:pt>
                <c:pt idx="65">
                  <c:v>7.13</c:v>
                </c:pt>
                <c:pt idx="66">
                  <c:v>7.13</c:v>
                </c:pt>
                <c:pt idx="67">
                  <c:v>7.13</c:v>
                </c:pt>
                <c:pt idx="68">
                  <c:v>7.13</c:v>
                </c:pt>
                <c:pt idx="69">
                  <c:v>7.13</c:v>
                </c:pt>
                <c:pt idx="70">
                  <c:v>7.13</c:v>
                </c:pt>
                <c:pt idx="71">
                  <c:v>7.13</c:v>
                </c:pt>
                <c:pt idx="72">
                  <c:v>7.13</c:v>
                </c:pt>
                <c:pt idx="73">
                  <c:v>7.13</c:v>
                </c:pt>
                <c:pt idx="74">
                  <c:v>7.13</c:v>
                </c:pt>
                <c:pt idx="75">
                  <c:v>7.13</c:v>
                </c:pt>
                <c:pt idx="76">
                  <c:v>7.13</c:v>
                </c:pt>
                <c:pt idx="77">
                  <c:v>7.13</c:v>
                </c:pt>
                <c:pt idx="78">
                  <c:v>7.13</c:v>
                </c:pt>
                <c:pt idx="79">
                  <c:v>7.13</c:v>
                </c:pt>
                <c:pt idx="80">
                  <c:v>7.13</c:v>
                </c:pt>
                <c:pt idx="81">
                  <c:v>7.13</c:v>
                </c:pt>
                <c:pt idx="82">
                  <c:v>7.13</c:v>
                </c:pt>
                <c:pt idx="83">
                  <c:v>7.13</c:v>
                </c:pt>
                <c:pt idx="84">
                  <c:v>7.13</c:v>
                </c:pt>
                <c:pt idx="85">
                  <c:v>7.13</c:v>
                </c:pt>
                <c:pt idx="86">
                  <c:v>7.13</c:v>
                </c:pt>
                <c:pt idx="87">
                  <c:v>7.13</c:v>
                </c:pt>
                <c:pt idx="88">
                  <c:v>7.13</c:v>
                </c:pt>
                <c:pt idx="89">
                  <c:v>7.13</c:v>
                </c:pt>
                <c:pt idx="90">
                  <c:v>7.13</c:v>
                </c:pt>
                <c:pt idx="91">
                  <c:v>7.13</c:v>
                </c:pt>
                <c:pt idx="92">
                  <c:v>7.13</c:v>
                </c:pt>
                <c:pt idx="93">
                  <c:v>7.13</c:v>
                </c:pt>
                <c:pt idx="94">
                  <c:v>7.13</c:v>
                </c:pt>
                <c:pt idx="95">
                  <c:v>7.13</c:v>
                </c:pt>
                <c:pt idx="96">
                  <c:v>7.13</c:v>
                </c:pt>
                <c:pt idx="97">
                  <c:v>7.13</c:v>
                </c:pt>
                <c:pt idx="98">
                  <c:v>7.13</c:v>
                </c:pt>
                <c:pt idx="99">
                  <c:v>7.13</c:v>
                </c:pt>
                <c:pt idx="100">
                  <c:v>7.13</c:v>
                </c:pt>
                <c:pt idx="101">
                  <c:v>7.13</c:v>
                </c:pt>
                <c:pt idx="102">
                  <c:v>7.13</c:v>
                </c:pt>
                <c:pt idx="103">
                  <c:v>7.13</c:v>
                </c:pt>
                <c:pt idx="104">
                  <c:v>7.13</c:v>
                </c:pt>
                <c:pt idx="105">
                  <c:v>7.13</c:v>
                </c:pt>
                <c:pt idx="106">
                  <c:v>7.13</c:v>
                </c:pt>
                <c:pt idx="107">
                  <c:v>7.13</c:v>
                </c:pt>
                <c:pt idx="108">
                  <c:v>7.13</c:v>
                </c:pt>
                <c:pt idx="109">
                  <c:v>7.13</c:v>
                </c:pt>
                <c:pt idx="110">
                  <c:v>7.13</c:v>
                </c:pt>
                <c:pt idx="111">
                  <c:v>7.13</c:v>
                </c:pt>
                <c:pt idx="112">
                  <c:v>7.13</c:v>
                </c:pt>
                <c:pt idx="113">
                  <c:v>7.13</c:v>
                </c:pt>
                <c:pt idx="114">
                  <c:v>7.13</c:v>
                </c:pt>
                <c:pt idx="115">
                  <c:v>7.13</c:v>
                </c:pt>
                <c:pt idx="116">
                  <c:v>7.13</c:v>
                </c:pt>
                <c:pt idx="117">
                  <c:v>7.13</c:v>
                </c:pt>
                <c:pt idx="118">
                  <c:v>7.13</c:v>
                </c:pt>
                <c:pt idx="119">
                  <c:v>7.13</c:v>
                </c:pt>
                <c:pt idx="120">
                  <c:v>7.13</c:v>
                </c:pt>
                <c:pt idx="121">
                  <c:v>7.13</c:v>
                </c:pt>
                <c:pt idx="122">
                  <c:v>7.13</c:v>
                </c:pt>
                <c:pt idx="123">
                  <c:v>7.13</c:v>
                </c:pt>
                <c:pt idx="124">
                  <c:v>7.13</c:v>
                </c:pt>
                <c:pt idx="125">
                  <c:v>7.13</c:v>
                </c:pt>
                <c:pt idx="126">
                  <c:v>7.13</c:v>
                </c:pt>
                <c:pt idx="127">
                  <c:v>7.13</c:v>
                </c:pt>
                <c:pt idx="128">
                  <c:v>7.13</c:v>
                </c:pt>
                <c:pt idx="129">
                  <c:v>7.13</c:v>
                </c:pt>
                <c:pt idx="130">
                  <c:v>7.13</c:v>
                </c:pt>
                <c:pt idx="131">
                  <c:v>7.13</c:v>
                </c:pt>
                <c:pt idx="132">
                  <c:v>7.13</c:v>
                </c:pt>
                <c:pt idx="133">
                  <c:v>7.13</c:v>
                </c:pt>
                <c:pt idx="134">
                  <c:v>7.13</c:v>
                </c:pt>
                <c:pt idx="135">
                  <c:v>7.13</c:v>
                </c:pt>
                <c:pt idx="136">
                  <c:v>7.13</c:v>
                </c:pt>
                <c:pt idx="137">
                  <c:v>7.13</c:v>
                </c:pt>
                <c:pt idx="138">
                  <c:v>7.13</c:v>
                </c:pt>
                <c:pt idx="139">
                  <c:v>7.13</c:v>
                </c:pt>
                <c:pt idx="140">
                  <c:v>7.13</c:v>
                </c:pt>
                <c:pt idx="141">
                  <c:v>7.13</c:v>
                </c:pt>
                <c:pt idx="142">
                  <c:v>7.13</c:v>
                </c:pt>
                <c:pt idx="143">
                  <c:v>7.13</c:v>
                </c:pt>
                <c:pt idx="144">
                  <c:v>7.13</c:v>
                </c:pt>
                <c:pt idx="145">
                  <c:v>7.13</c:v>
                </c:pt>
                <c:pt idx="146">
                  <c:v>7.13</c:v>
                </c:pt>
                <c:pt idx="147">
                  <c:v>7.13</c:v>
                </c:pt>
                <c:pt idx="148">
                  <c:v>7.13</c:v>
                </c:pt>
                <c:pt idx="149">
                  <c:v>7.13</c:v>
                </c:pt>
                <c:pt idx="150">
                  <c:v>7.13</c:v>
                </c:pt>
                <c:pt idx="151">
                  <c:v>7.13</c:v>
                </c:pt>
                <c:pt idx="152">
                  <c:v>7.13</c:v>
                </c:pt>
                <c:pt idx="153">
                  <c:v>7.13</c:v>
                </c:pt>
                <c:pt idx="154">
                  <c:v>7.13</c:v>
                </c:pt>
                <c:pt idx="155">
                  <c:v>7.13</c:v>
                </c:pt>
                <c:pt idx="156">
                  <c:v>7.13</c:v>
                </c:pt>
                <c:pt idx="157">
                  <c:v>7.13</c:v>
                </c:pt>
                <c:pt idx="158">
                  <c:v>7.13</c:v>
                </c:pt>
                <c:pt idx="159">
                  <c:v>7.13</c:v>
                </c:pt>
                <c:pt idx="160">
                  <c:v>7.13</c:v>
                </c:pt>
                <c:pt idx="161">
                  <c:v>7.13</c:v>
                </c:pt>
                <c:pt idx="162">
                  <c:v>7.13</c:v>
                </c:pt>
                <c:pt idx="163">
                  <c:v>7.13</c:v>
                </c:pt>
                <c:pt idx="164">
                  <c:v>7.13</c:v>
                </c:pt>
                <c:pt idx="165">
                  <c:v>7.13</c:v>
                </c:pt>
                <c:pt idx="166">
                  <c:v>7.13</c:v>
                </c:pt>
                <c:pt idx="167">
                  <c:v>7.13</c:v>
                </c:pt>
                <c:pt idx="168">
                  <c:v>7.13</c:v>
                </c:pt>
                <c:pt idx="169">
                  <c:v>7.13</c:v>
                </c:pt>
                <c:pt idx="170">
                  <c:v>7.13</c:v>
                </c:pt>
                <c:pt idx="171">
                  <c:v>7.13</c:v>
                </c:pt>
                <c:pt idx="172">
                  <c:v>7.13</c:v>
                </c:pt>
                <c:pt idx="173">
                  <c:v>7.13</c:v>
                </c:pt>
                <c:pt idx="174">
                  <c:v>7.13</c:v>
                </c:pt>
                <c:pt idx="175">
                  <c:v>7.13</c:v>
                </c:pt>
                <c:pt idx="176">
                  <c:v>7.13</c:v>
                </c:pt>
                <c:pt idx="177">
                  <c:v>7.13</c:v>
                </c:pt>
                <c:pt idx="178">
                  <c:v>7.13</c:v>
                </c:pt>
                <c:pt idx="179">
                  <c:v>7.13</c:v>
                </c:pt>
                <c:pt idx="180">
                  <c:v>7.13</c:v>
                </c:pt>
              </c:numCache>
            </c:numRef>
          </c:val>
          <c:smooth val="0"/>
        </c:ser>
        <c:ser>
          <c:idx val="2"/>
          <c:order val="2"/>
          <c:spPr>
            <a:ln w="25400" cap="rnd" cmpd="sng" algn="ctr">
              <a:solidFill>
                <a:srgbClr val="FF0000"/>
              </a:solidFill>
              <a:prstDash val="solid"/>
              <a:round/>
            </a:ln>
          </c:spPr>
          <c:marker>
            <c:symbol val="none"/>
          </c:marker>
          <c:dLbls>
            <c:delete val="1"/>
          </c:dLbls>
          <c:cat>
            <c:numRef>
              <c:f>'3'!$D$80:$GB$80</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cat>
          <c:val>
            <c:numRef>
              <c:f>'3'!$D$82:$GB$82</c:f>
              <c:numCache>
                <c:formatCode>General</c:formatCode>
                <c:ptCount val="181"/>
                <c:pt idx="0">
                  <c:v>5.71</c:v>
                </c:pt>
                <c:pt idx="1">
                  <c:v>5.71</c:v>
                </c:pt>
                <c:pt idx="2">
                  <c:v>5.71</c:v>
                </c:pt>
                <c:pt idx="3">
                  <c:v>5.71</c:v>
                </c:pt>
                <c:pt idx="4">
                  <c:v>5.71</c:v>
                </c:pt>
                <c:pt idx="5">
                  <c:v>5.71</c:v>
                </c:pt>
                <c:pt idx="6">
                  <c:v>5.71</c:v>
                </c:pt>
                <c:pt idx="7">
                  <c:v>5.71</c:v>
                </c:pt>
                <c:pt idx="8">
                  <c:v>5.71</c:v>
                </c:pt>
                <c:pt idx="9">
                  <c:v>5.71</c:v>
                </c:pt>
                <c:pt idx="10">
                  <c:v>5.71</c:v>
                </c:pt>
                <c:pt idx="11">
                  <c:v>5.71</c:v>
                </c:pt>
                <c:pt idx="12">
                  <c:v>5.71</c:v>
                </c:pt>
                <c:pt idx="13">
                  <c:v>5.71</c:v>
                </c:pt>
                <c:pt idx="14">
                  <c:v>5.71</c:v>
                </c:pt>
                <c:pt idx="15">
                  <c:v>5.71</c:v>
                </c:pt>
                <c:pt idx="16">
                  <c:v>5.71</c:v>
                </c:pt>
                <c:pt idx="17">
                  <c:v>5.71</c:v>
                </c:pt>
                <c:pt idx="18">
                  <c:v>5.71</c:v>
                </c:pt>
                <c:pt idx="19">
                  <c:v>5.71</c:v>
                </c:pt>
                <c:pt idx="20">
                  <c:v>5.71</c:v>
                </c:pt>
                <c:pt idx="21">
                  <c:v>5.71</c:v>
                </c:pt>
                <c:pt idx="22">
                  <c:v>5.71</c:v>
                </c:pt>
                <c:pt idx="23">
                  <c:v>5.71</c:v>
                </c:pt>
                <c:pt idx="24">
                  <c:v>5.71</c:v>
                </c:pt>
                <c:pt idx="25">
                  <c:v>5.71</c:v>
                </c:pt>
                <c:pt idx="26">
                  <c:v>5.71</c:v>
                </c:pt>
                <c:pt idx="27">
                  <c:v>5.71</c:v>
                </c:pt>
                <c:pt idx="28">
                  <c:v>5.71</c:v>
                </c:pt>
                <c:pt idx="29">
                  <c:v>5.71</c:v>
                </c:pt>
                <c:pt idx="30">
                  <c:v>5.71</c:v>
                </c:pt>
                <c:pt idx="31">
                  <c:v>5.71</c:v>
                </c:pt>
                <c:pt idx="32">
                  <c:v>5.71</c:v>
                </c:pt>
                <c:pt idx="33">
                  <c:v>5.71</c:v>
                </c:pt>
                <c:pt idx="34">
                  <c:v>5.71</c:v>
                </c:pt>
                <c:pt idx="35">
                  <c:v>5.71</c:v>
                </c:pt>
                <c:pt idx="36">
                  <c:v>5.71</c:v>
                </c:pt>
                <c:pt idx="37">
                  <c:v>5.71</c:v>
                </c:pt>
                <c:pt idx="38">
                  <c:v>5.71</c:v>
                </c:pt>
                <c:pt idx="39">
                  <c:v>5.71</c:v>
                </c:pt>
                <c:pt idx="40">
                  <c:v>5.71</c:v>
                </c:pt>
                <c:pt idx="41">
                  <c:v>5.71</c:v>
                </c:pt>
                <c:pt idx="42">
                  <c:v>5.71</c:v>
                </c:pt>
                <c:pt idx="43">
                  <c:v>5.71</c:v>
                </c:pt>
                <c:pt idx="44">
                  <c:v>5.71</c:v>
                </c:pt>
                <c:pt idx="45">
                  <c:v>5.71</c:v>
                </c:pt>
                <c:pt idx="46">
                  <c:v>5.71</c:v>
                </c:pt>
                <c:pt idx="47">
                  <c:v>5.71</c:v>
                </c:pt>
                <c:pt idx="48">
                  <c:v>5.71</c:v>
                </c:pt>
                <c:pt idx="49">
                  <c:v>5.71</c:v>
                </c:pt>
                <c:pt idx="50">
                  <c:v>5.71</c:v>
                </c:pt>
                <c:pt idx="51">
                  <c:v>5.71</c:v>
                </c:pt>
                <c:pt idx="52">
                  <c:v>5.71</c:v>
                </c:pt>
                <c:pt idx="53">
                  <c:v>5.71</c:v>
                </c:pt>
                <c:pt idx="54">
                  <c:v>5.71</c:v>
                </c:pt>
                <c:pt idx="55">
                  <c:v>5.71</c:v>
                </c:pt>
                <c:pt idx="56">
                  <c:v>5.71</c:v>
                </c:pt>
                <c:pt idx="57">
                  <c:v>5.71</c:v>
                </c:pt>
                <c:pt idx="58">
                  <c:v>5.71</c:v>
                </c:pt>
                <c:pt idx="59">
                  <c:v>5.71</c:v>
                </c:pt>
                <c:pt idx="60">
                  <c:v>5.71</c:v>
                </c:pt>
                <c:pt idx="61">
                  <c:v>5.71</c:v>
                </c:pt>
                <c:pt idx="62">
                  <c:v>5.71</c:v>
                </c:pt>
                <c:pt idx="63">
                  <c:v>5.71</c:v>
                </c:pt>
                <c:pt idx="64">
                  <c:v>5.71</c:v>
                </c:pt>
                <c:pt idx="65">
                  <c:v>5.71</c:v>
                </c:pt>
                <c:pt idx="66">
                  <c:v>5.71</c:v>
                </c:pt>
                <c:pt idx="67">
                  <c:v>5.71</c:v>
                </c:pt>
                <c:pt idx="68">
                  <c:v>5.71</c:v>
                </c:pt>
                <c:pt idx="69">
                  <c:v>5.71</c:v>
                </c:pt>
                <c:pt idx="70">
                  <c:v>5.71</c:v>
                </c:pt>
                <c:pt idx="71">
                  <c:v>5.71</c:v>
                </c:pt>
                <c:pt idx="72">
                  <c:v>5.71</c:v>
                </c:pt>
                <c:pt idx="73">
                  <c:v>5.71</c:v>
                </c:pt>
                <c:pt idx="74">
                  <c:v>5.71</c:v>
                </c:pt>
                <c:pt idx="75">
                  <c:v>5.71</c:v>
                </c:pt>
                <c:pt idx="76">
                  <c:v>5.71</c:v>
                </c:pt>
                <c:pt idx="77">
                  <c:v>5.71</c:v>
                </c:pt>
                <c:pt idx="78">
                  <c:v>5.71</c:v>
                </c:pt>
                <c:pt idx="79">
                  <c:v>5.71</c:v>
                </c:pt>
                <c:pt idx="80">
                  <c:v>5.71</c:v>
                </c:pt>
                <c:pt idx="81">
                  <c:v>5.71</c:v>
                </c:pt>
                <c:pt idx="82">
                  <c:v>5.71</c:v>
                </c:pt>
                <c:pt idx="83">
                  <c:v>5.71</c:v>
                </c:pt>
                <c:pt idx="84">
                  <c:v>5.71</c:v>
                </c:pt>
                <c:pt idx="85">
                  <c:v>5.71</c:v>
                </c:pt>
                <c:pt idx="86">
                  <c:v>5.71</c:v>
                </c:pt>
                <c:pt idx="87">
                  <c:v>5.71</c:v>
                </c:pt>
                <c:pt idx="88">
                  <c:v>5.71</c:v>
                </c:pt>
                <c:pt idx="89">
                  <c:v>5.71</c:v>
                </c:pt>
                <c:pt idx="90">
                  <c:v>5.71</c:v>
                </c:pt>
                <c:pt idx="91">
                  <c:v>5.71</c:v>
                </c:pt>
                <c:pt idx="92">
                  <c:v>5.71</c:v>
                </c:pt>
                <c:pt idx="93">
                  <c:v>5.71</c:v>
                </c:pt>
                <c:pt idx="94">
                  <c:v>5.71</c:v>
                </c:pt>
                <c:pt idx="95">
                  <c:v>5.71</c:v>
                </c:pt>
                <c:pt idx="96">
                  <c:v>5.71</c:v>
                </c:pt>
                <c:pt idx="97">
                  <c:v>5.71</c:v>
                </c:pt>
                <c:pt idx="98">
                  <c:v>5.71</c:v>
                </c:pt>
                <c:pt idx="99">
                  <c:v>5.71</c:v>
                </c:pt>
                <c:pt idx="100">
                  <c:v>5.71</c:v>
                </c:pt>
                <c:pt idx="101">
                  <c:v>5.71</c:v>
                </c:pt>
                <c:pt idx="102">
                  <c:v>5.71</c:v>
                </c:pt>
                <c:pt idx="103">
                  <c:v>5.71</c:v>
                </c:pt>
                <c:pt idx="104">
                  <c:v>5.71</c:v>
                </c:pt>
                <c:pt idx="105">
                  <c:v>5.71</c:v>
                </c:pt>
                <c:pt idx="106">
                  <c:v>5.71</c:v>
                </c:pt>
                <c:pt idx="107">
                  <c:v>5.71</c:v>
                </c:pt>
                <c:pt idx="108">
                  <c:v>5.71</c:v>
                </c:pt>
                <c:pt idx="109">
                  <c:v>5.71</c:v>
                </c:pt>
                <c:pt idx="110">
                  <c:v>5.71</c:v>
                </c:pt>
                <c:pt idx="111">
                  <c:v>5.71</c:v>
                </c:pt>
                <c:pt idx="112">
                  <c:v>5.71</c:v>
                </c:pt>
                <c:pt idx="113">
                  <c:v>5.71</c:v>
                </c:pt>
                <c:pt idx="114">
                  <c:v>5.71</c:v>
                </c:pt>
                <c:pt idx="115">
                  <c:v>5.71</c:v>
                </c:pt>
                <c:pt idx="116">
                  <c:v>5.71</c:v>
                </c:pt>
                <c:pt idx="117">
                  <c:v>5.71</c:v>
                </c:pt>
                <c:pt idx="118">
                  <c:v>5.71</c:v>
                </c:pt>
                <c:pt idx="119">
                  <c:v>5.71</c:v>
                </c:pt>
                <c:pt idx="120">
                  <c:v>5.71</c:v>
                </c:pt>
                <c:pt idx="121">
                  <c:v>5.71</c:v>
                </c:pt>
                <c:pt idx="122">
                  <c:v>5.71</c:v>
                </c:pt>
                <c:pt idx="123">
                  <c:v>5.71</c:v>
                </c:pt>
                <c:pt idx="124">
                  <c:v>5.71</c:v>
                </c:pt>
                <c:pt idx="125">
                  <c:v>5.71</c:v>
                </c:pt>
                <c:pt idx="126">
                  <c:v>5.71</c:v>
                </c:pt>
                <c:pt idx="127">
                  <c:v>5.71</c:v>
                </c:pt>
                <c:pt idx="128">
                  <c:v>5.71</c:v>
                </c:pt>
                <c:pt idx="129">
                  <c:v>5.71</c:v>
                </c:pt>
                <c:pt idx="130">
                  <c:v>5.71</c:v>
                </c:pt>
                <c:pt idx="131">
                  <c:v>5.71</c:v>
                </c:pt>
                <c:pt idx="132">
                  <c:v>5.71</c:v>
                </c:pt>
                <c:pt idx="133">
                  <c:v>5.71</c:v>
                </c:pt>
                <c:pt idx="134">
                  <c:v>5.71</c:v>
                </c:pt>
                <c:pt idx="135">
                  <c:v>5.71</c:v>
                </c:pt>
                <c:pt idx="136">
                  <c:v>5.71</c:v>
                </c:pt>
                <c:pt idx="137">
                  <c:v>5.71</c:v>
                </c:pt>
                <c:pt idx="138">
                  <c:v>5.71</c:v>
                </c:pt>
                <c:pt idx="139">
                  <c:v>5.71</c:v>
                </c:pt>
                <c:pt idx="140">
                  <c:v>5.71</c:v>
                </c:pt>
                <c:pt idx="141">
                  <c:v>5.71</c:v>
                </c:pt>
                <c:pt idx="142">
                  <c:v>5.71</c:v>
                </c:pt>
                <c:pt idx="143">
                  <c:v>5.71</c:v>
                </c:pt>
                <c:pt idx="144">
                  <c:v>5.71</c:v>
                </c:pt>
                <c:pt idx="145">
                  <c:v>5.71</c:v>
                </c:pt>
                <c:pt idx="146">
                  <c:v>5.71</c:v>
                </c:pt>
                <c:pt idx="147">
                  <c:v>5.71</c:v>
                </c:pt>
                <c:pt idx="148">
                  <c:v>5.71</c:v>
                </c:pt>
                <c:pt idx="149">
                  <c:v>5.71</c:v>
                </c:pt>
                <c:pt idx="150">
                  <c:v>5.71</c:v>
                </c:pt>
                <c:pt idx="151">
                  <c:v>5.71</c:v>
                </c:pt>
                <c:pt idx="152">
                  <c:v>5.71</c:v>
                </c:pt>
                <c:pt idx="153">
                  <c:v>5.71</c:v>
                </c:pt>
                <c:pt idx="154">
                  <c:v>5.71</c:v>
                </c:pt>
                <c:pt idx="155">
                  <c:v>5.71</c:v>
                </c:pt>
                <c:pt idx="156">
                  <c:v>5.71</c:v>
                </c:pt>
                <c:pt idx="157">
                  <c:v>5.71</c:v>
                </c:pt>
                <c:pt idx="158">
                  <c:v>5.71</c:v>
                </c:pt>
                <c:pt idx="159">
                  <c:v>5.71</c:v>
                </c:pt>
                <c:pt idx="160">
                  <c:v>5.71</c:v>
                </c:pt>
                <c:pt idx="161">
                  <c:v>5.71</c:v>
                </c:pt>
                <c:pt idx="162">
                  <c:v>5.71</c:v>
                </c:pt>
                <c:pt idx="163">
                  <c:v>5.71</c:v>
                </c:pt>
                <c:pt idx="164">
                  <c:v>5.71</c:v>
                </c:pt>
                <c:pt idx="165">
                  <c:v>5.71</c:v>
                </c:pt>
                <c:pt idx="166">
                  <c:v>5.71</c:v>
                </c:pt>
                <c:pt idx="167">
                  <c:v>5.71</c:v>
                </c:pt>
                <c:pt idx="168">
                  <c:v>5.71</c:v>
                </c:pt>
                <c:pt idx="169">
                  <c:v>5.71</c:v>
                </c:pt>
                <c:pt idx="170">
                  <c:v>5.71</c:v>
                </c:pt>
                <c:pt idx="171">
                  <c:v>5.71</c:v>
                </c:pt>
                <c:pt idx="172">
                  <c:v>5.71</c:v>
                </c:pt>
                <c:pt idx="173">
                  <c:v>5.71</c:v>
                </c:pt>
                <c:pt idx="174">
                  <c:v>5.71</c:v>
                </c:pt>
                <c:pt idx="175">
                  <c:v>5.71</c:v>
                </c:pt>
                <c:pt idx="176">
                  <c:v>5.71</c:v>
                </c:pt>
                <c:pt idx="177">
                  <c:v>5.71</c:v>
                </c:pt>
                <c:pt idx="178">
                  <c:v>5.71</c:v>
                </c:pt>
                <c:pt idx="179">
                  <c:v>5.71</c:v>
                </c:pt>
                <c:pt idx="180">
                  <c:v>5.71</c:v>
                </c:pt>
              </c:numCache>
            </c:numRef>
          </c:val>
          <c:smooth val="0"/>
        </c:ser>
        <c:dLbls>
          <c:showLegendKey val="0"/>
          <c:showVal val="0"/>
          <c:showCatName val="0"/>
          <c:showSerName val="0"/>
          <c:showPercent val="0"/>
          <c:showBubbleSize val="0"/>
        </c:dLbls>
        <c:marker val="0"/>
        <c:smooth val="0"/>
        <c:axId val="123089280"/>
        <c:axId val="123091200"/>
      </c:lineChart>
      <c:catAx>
        <c:axId val="123089280"/>
        <c:scaling>
          <c:orientation val="minMax"/>
        </c:scaling>
        <c:delete val="0"/>
        <c:axPos val="b"/>
        <c:title>
          <c:tx>
            <c:rich>
              <a:bodyPr rot="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800"/>
                  <a:t>方
位</a:t>
                </a:r>
                <a:endParaRPr lang="en-US" altLang="zh-CN" sz="800"/>
              </a:p>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sz="800"/>
                  <a:t>角</a:t>
                </a:r>
                <a:endParaRPr lang="en-US" altLang="zh-CN" sz="800"/>
              </a:p>
            </c:rich>
          </c:tx>
          <c:layout>
            <c:manualLayout>
              <c:xMode val="edge"/>
              <c:yMode val="edge"/>
              <c:x val="0.965018094089264"/>
              <c:y val="0.679069767441862"/>
            </c:manualLayout>
          </c:layout>
          <c:overlay val="0"/>
          <c:spPr>
            <a:noFill/>
            <a:ln w="25400">
              <a:noFill/>
            </a:ln>
          </c:spPr>
        </c:title>
        <c:numFmt formatCode="General" sourceLinked="1"/>
        <c:majorTickMark val="in"/>
        <c:minorTickMark val="out"/>
        <c:tickLblPos val="nextTo"/>
        <c:spPr>
          <a:ln w="25400" cap="flat" cmpd="sng" algn="ctr">
            <a:solidFill>
              <a:srgbClr val="000000"/>
            </a:solidFill>
            <a:prstDash val="solid"/>
            <a:round/>
          </a:ln>
        </c:spPr>
        <c:txPr>
          <a:bodyPr rot="540000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3091200"/>
        <c:crosses val="autoZero"/>
        <c:auto val="1"/>
        <c:lblAlgn val="ctr"/>
        <c:lblOffset val="100"/>
        <c:tickLblSkip val="10"/>
        <c:tickMarkSkip val="10"/>
        <c:noMultiLvlLbl val="0"/>
      </c:catAx>
      <c:valAx>
        <c:axId val="123091200"/>
        <c:scaling>
          <c:orientation val="minMax"/>
          <c:min val="0"/>
        </c:scaling>
        <c:delete val="0"/>
        <c:axPos val="l"/>
        <c:majorGridlines>
          <c:spPr>
            <a:ln w="3175" cap="flat" cmpd="sng" algn="ctr">
              <a:solidFill>
                <a:srgbClr val="000000"/>
              </a:solidFill>
              <a:prstDash val="solid"/>
              <a:round/>
            </a:ln>
          </c:spPr>
        </c:majorGridlines>
        <c:title>
          <c:tx>
            <c:rich>
              <a:bodyPr rot="0" spcFirstLastPara="0" vertOverflow="ellipsis" vert="horz" wrap="square" anchor="ctr" anchorCtr="1"/>
              <a:lstStyle/>
              <a:p>
                <a:pPr algn="ct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仰角</a:t>
                </a:r>
                <a:r>
                  <a:rPr lang="en-US" altLang="zh-CN"/>
                  <a:t>(º)</a:t>
                </a:r>
                <a:endParaRPr lang="zh-CN" altLang="en-US"/>
              </a:p>
            </c:rich>
          </c:tx>
          <c:layout>
            <c:manualLayout>
              <c:xMode val="edge"/>
              <c:yMode val="edge"/>
              <c:x val="0.0062287664330098"/>
              <c:y val="0.0132625994694964"/>
            </c:manualLayout>
          </c:layout>
          <c:overlay val="0"/>
          <c:spPr>
            <a:noFill/>
            <a:ln w="25400">
              <a:noFill/>
            </a:ln>
          </c:spPr>
        </c:title>
        <c:numFmt formatCode="0;[Red]0" sourceLinked="0"/>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23089280"/>
        <c:crosses val="autoZero"/>
        <c:crossBetween val="midCat"/>
        <c:majorUnit val="2"/>
      </c:valAx>
      <c:spPr>
        <a:noFill/>
        <a:ln w="12700">
          <a:solidFill>
            <a:srgbClr val="808080"/>
          </a:solidFill>
          <a:prstDash val="solid"/>
        </a:ln>
      </c:spPr>
    </c:plotArea>
    <c:plotVisOnly val="1"/>
    <c:dispBlanksAs val="gap"/>
    <c:showDLblsOverMax val="0"/>
  </c:chart>
  <c:spPr>
    <a:solidFill>
      <a:srgbClr val="FFFFFF"/>
    </a:solidFill>
    <a:ln w="9525" cap="flat" cmpd="sng" algn="ctr">
      <a:noFill/>
      <a:prstDash val="solid"/>
      <a:round/>
    </a:ln>
  </c:spPr>
  <c:txPr>
    <a:bodyPr/>
    <a:lstStyle/>
    <a:p>
      <a:pPr>
        <a:defRPr lang="zh-CN" sz="16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870</Words>
  <Characters>4963</Characters>
  <Lines>41</Lines>
  <Paragraphs>11</Paragraphs>
  <TotalTime>15</TotalTime>
  <ScaleCrop>false</ScaleCrop>
  <LinksUpToDate>false</LinksUpToDate>
  <CharactersWithSpaces>5822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2023-10-09T08:26:00Z</dcterms:created>
  <dc:creator>Lenovo User</dc:creator>
  <cp:lastModifiedBy>Administrator</cp:lastModifiedBy>
  <cp:lastPrinted>2023-07-16T10:31:00Z</cp:lastPrinted>
  <dcterms:modified xsi:type="dcterms:W3CDTF">2023-11-16T03:11:39Z</dcterms:modified>
  <dc:title>固原市人民政府文件</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40D7017776694EFDBDACCB942FD29FCC_13</vt:lpwstr>
  </property>
</Properties>
</file>