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28"/>
          <w:szCs w:val="24"/>
        </w:rPr>
      </w:pPr>
      <w:bookmarkStart w:id="0" w:name="_Toc85626063"/>
      <w:r>
        <w:rPr>
          <w:rFonts w:hint="default" w:ascii="Times New Roman" w:hAnsi="Times New Roman" w:eastAsia="黑体" w:cs="Times New Roman"/>
          <w:sz w:val="32"/>
          <w:szCs w:val="32"/>
        </w:rPr>
        <w:t>附件5</w:t>
      </w:r>
      <w:r>
        <w:rPr>
          <w:rFonts w:hint="default" w:ascii="Times New Roman" w:hAnsi="Times New Roman" w:eastAsia="黑体" w:cs="Times New Roman"/>
          <w:sz w:val="28"/>
          <w:szCs w:val="24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黑体" w:cs="Times New Roman"/>
          <w:sz w:val="28"/>
          <w:szCs w:val="24"/>
        </w:rPr>
      </w:pPr>
      <w:r>
        <w:rPr>
          <w:rFonts w:hint="default" w:ascii="Times New Roman" w:hAnsi="Times New Roman" w:eastAsia="黑体" w:cs="Times New Roman"/>
          <w:sz w:val="28"/>
          <w:szCs w:val="24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0"/>
        </w:rPr>
      </w:pPr>
      <w:r>
        <w:rPr>
          <w:rFonts w:hint="default" w:ascii="Times New Roman" w:hAnsi="Times New Roman" w:eastAsia="方正小标宋_GBK" w:cs="Times New Roman"/>
          <w:sz w:val="44"/>
          <w:szCs w:val="40"/>
        </w:rPr>
        <w:t>沙坡头区2023年水资源超载综合治理措施</w:t>
      </w:r>
      <w:bookmarkEnd w:id="0"/>
      <w:r>
        <w:rPr>
          <w:rFonts w:hint="default" w:ascii="Times New Roman" w:hAnsi="Times New Roman" w:eastAsia="方正小标宋_GBK" w:cs="Times New Roman"/>
          <w:sz w:val="44"/>
          <w:szCs w:val="40"/>
        </w:rPr>
        <w:t>表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3"/>
        <w:tblW w:w="517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621"/>
        <w:gridCol w:w="747"/>
        <w:gridCol w:w="1169"/>
        <w:gridCol w:w="997"/>
        <w:gridCol w:w="1120"/>
        <w:gridCol w:w="721"/>
        <w:gridCol w:w="810"/>
        <w:gridCol w:w="876"/>
        <w:gridCol w:w="1546"/>
        <w:gridCol w:w="1321"/>
        <w:gridCol w:w="787"/>
        <w:gridCol w:w="3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阶段</w:t>
            </w:r>
          </w:p>
        </w:tc>
        <w:tc>
          <w:tcPr>
            <w:tcW w:w="2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治理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措施</w:t>
            </w:r>
          </w:p>
        </w:tc>
        <w:tc>
          <w:tcPr>
            <w:tcW w:w="1404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治理内容</w:t>
            </w: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压减水量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（万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立方米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投资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估算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5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责任部门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配合部门</w:t>
            </w:r>
          </w:p>
        </w:tc>
        <w:tc>
          <w:tcPr>
            <w:tcW w:w="2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渠道</w:t>
            </w:r>
          </w:p>
        </w:tc>
        <w:tc>
          <w:tcPr>
            <w:tcW w:w="10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4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节耗水量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折减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取水量</w:t>
            </w:r>
          </w:p>
        </w:tc>
        <w:tc>
          <w:tcPr>
            <w:tcW w:w="3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>2023</w:t>
            </w:r>
          </w:p>
        </w:tc>
        <w:tc>
          <w:tcPr>
            <w:tcW w:w="2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行业节水措施</w:t>
            </w:r>
          </w:p>
        </w:tc>
        <w:tc>
          <w:tcPr>
            <w:tcW w:w="2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农业节水措施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高耗水作物压减</w:t>
            </w:r>
          </w:p>
        </w:tc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维持2022年水平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1581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维持2022年措施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高效节水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灌溉</w:t>
            </w:r>
          </w:p>
        </w:tc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新建高效节灌3万亩</w:t>
            </w:r>
          </w:p>
        </w:tc>
        <w:tc>
          <w:tcPr>
            <w:tcW w:w="2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2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1286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市政府</w:t>
            </w:r>
          </w:p>
        </w:tc>
        <w:tc>
          <w:tcPr>
            <w:tcW w:w="10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永康镇5000亩、东园镇3000亩、宣和镇18000亩、柔远镇4000亩、共新建3万亩玉米、经济林高效节灌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配套设施维护</w:t>
            </w:r>
          </w:p>
        </w:tc>
        <w:tc>
          <w:tcPr>
            <w:tcW w:w="2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市政府</w:t>
            </w:r>
          </w:p>
        </w:tc>
        <w:tc>
          <w:tcPr>
            <w:tcW w:w="10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2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加强田间用水管理</w:t>
            </w:r>
          </w:p>
        </w:tc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对水稻、玉米等作物用水严格按照《宁夏农业用水定额》核算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1169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压减后剩余1.5万亩水稻按照《宁夏农业用水定额》控制灌溉实施可节水151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立方米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/亩、自流灌区5万亩玉米按照《宁夏农业用水定额》畦灌实施可节水77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立方米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/亩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灌区节水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改造</w:t>
            </w:r>
          </w:p>
        </w:tc>
        <w:tc>
          <w:tcPr>
            <w:tcW w:w="7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末级渠道衬砌、干支渠运维、渠道建筑物改造、完善计量体系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市政府</w:t>
            </w: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县域内灌区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-487045</wp:posOffset>
                      </wp:positionH>
                      <wp:positionV relativeFrom="paragraph">
                        <wp:posOffset>127000</wp:posOffset>
                      </wp:positionV>
                      <wp:extent cx="448310" cy="43815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31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center"/>
                                    <w:textAlignment w:val="auto"/>
                                    <w:rPr>
                                      <w:rFonts w:ascii="Times New Roman" w:hAnsi="Times New Roman" w:eastAsia="宋体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治理</w:t>
                                  </w:r>
                                </w:p>
                                <w:p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措施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8.35pt;margin-top:10pt;height:34.5pt;width:35.3pt;z-index:251661312;mso-width-relative:page;mso-height-relative:page;" filled="f" stroked="f" coordsize="21600,21600" o:gfxdata="UEsDBAoAAAAAAIdO4kAAAAAAAAAAAAAAAAAEAAAAZHJzL1BLAwQUAAAACACHTuJAOdujWdUAAAAI&#10;AQAADwAAAGRycy9kb3ducmV2LnhtbE2PQU+DQBCF7yb+h82YeKO7GKUtZehB41VjqybetjAFUnaW&#10;sNuC/97xpMfJ+/LeN8V2dr260Bg6zwjpwoAirnzdcYPwvn9OVqBCtFzb3jMhfFOAbXl9Vdi89hO/&#10;0WUXGyUlHHKL0MY45FqHqiVnw8IPxJId/ehslHNsdD3aScpdr++MybSzHctCawd6bKk67c4O4ePl&#10;+PV5b16bJ/cwTH42mt1aI97epGYDKtIc/2D41Rd1KMXp4M9cB9UjJMtsKSiCzIASIMlSUAeE1dqA&#10;Lgv9/4HyB1BLAwQUAAAACACHTuJApSaIvqwBAABNAwAADgAAAGRycy9lMm9Eb2MueG1srVNBjhMx&#10;ELwj8QfLd+JkE1A0ymQlFC0XBEgLD3A8dsaS7bbcTmbyAfgBJy7ceVfeQdvJZmG57IGLx+6uqe6q&#10;tle3o3fsoBNaCC2fTaac6aCgs2HX8i+f714tOcMsQycdBN3yo0Z+u375YjXERt9AD67TiRFJwGaI&#10;Le9zjo0QqHrtJU4g6kBJA8nLTMe0E12SA7F7J26m0zdigNTFBEojUnRzTvILY3oOIRhjld6A2nsd&#10;8pk1aSczScLeRuTr2q0xWuWPxqDOzLWclOa6UhHab8sq1ivZ7JKMvVWXFuRzWniiyUsbqOiVaiOz&#10;ZPtk/6HyViVAMHmiwIuzkOoIqZhNn3hz38uoqxayGuPVdPx/tOrD4VNitmv5nLMgPQ389P3b6cev&#10;08+vbF7sGSI2hLqPhMvjWxjp0jzEkYJF9WiSL1/SwyhP5h6v5uoxM0XBxWI5n1FGUWoxX85eV/PF&#10;488xYX6nwbOyaXmi2VVL5eE9ZmqEoA+QUivAnXWuzs+FvwIELBFROj93WHZ53I4XOVvojqRmH5Pd&#10;9VSq6qlwcrkWutyIMsY/z5X08RWs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526NZ1QAAAAgB&#10;AAAPAAAAAAAAAAEAIAAAACIAAABkcnMvZG93bnJldi54bWxQSwECFAAUAAAACACHTuJApSaIvqwB&#10;AABNAwAADgAAAAAAAAABACAAAAAkAQAAZHJzL2Uyb0RvYy54bWxQSwUGAAAAAAYABgBZAQAAQgUA&#10;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ascii="Times New Roman" w:hAnsi="Times New Roman" w:eastAsia="宋体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治理</w:t>
                            </w:r>
                          </w:p>
                          <w:p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措施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-906145</wp:posOffset>
                      </wp:positionH>
                      <wp:positionV relativeFrom="paragraph">
                        <wp:posOffset>83185</wp:posOffset>
                      </wp:positionV>
                      <wp:extent cx="466090" cy="55245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09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阶段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1.35pt;margin-top:6.55pt;height:43.5pt;width:36.7pt;z-index:251660288;mso-width-relative:page;mso-height-relative:page;" filled="f" stroked="f" coordsize="21600,21600" o:gfxdata="UEsDBAoAAAAAAIdO4kAAAAAAAAAAAAAAAAAEAAAAZHJzL1BLAwQUAAAACACHTuJAplHOVtcAAAAL&#10;AQAADwAAAGRycy9kb3ducmV2LnhtbE2PwU7DMAyG70i8Q2Qkbl2SbQxWmu4A4gpiwKTdssZrKxqn&#10;arK1vD3mxI72/+n352Iz+U6ccYhtIAN6pkAgVcG1VBv4/HjJHkDEZMnZLhAa+MEIm/L6qrC5CyO9&#10;43mbasElFHNroEmpz6WMVYPexlnokTg7hsHbxONQSzfYkct9J+dKraS3LfGFxvb41GD1vT15A1+v&#10;x/1uqd7qZ3/Xj2FSkvxaGnN7o9UjiIRT+ofhT5/VoWSnQziRi6IzkOnl/J5ZThYaBBPZar0AceCF&#10;UhpkWcjLH8pfUEsDBBQAAAAIAIdO4kAayYXnrAEAAE0DAAAOAAAAZHJzL2Uyb0RvYy54bWytU8GO&#10;0zAQvSPxD5bv22SjbQVR05VW1XJBgLTwAa5jN5Zsj+Vxm/QH4A84ceHOd/U7GLvdLiyXPXBx7JmX&#10;N/Pe2MvbyVm2VxEN+I5fz2rOlJfQG7/t+JfP91dvOMMkfC8seNXxg0J+u3r9ajmGVjUwgO1VZETi&#10;sR1Dx4eUQltVKAflBM4gKE9JDdGJRMe4rfooRmJ3tmrqelGNEPsQQSpEiq5PSX5mjC8hBK2NVGuQ&#10;O6d8OrFGZUUiSTiYgHxVutVayfRRa1SJ2Y6T0lRWKkL7TV6r1VK02yjCYOS5BfGSFp5pcsJ4Knqh&#10;Wosk2C6af6ickREQdJpJcNVJSHGEVFzXz7x5GERQRQtZjeFiOv4/Wvlh/yky03e84cwLRwM/fv92&#10;/PHr+PMra7I9Y8CWUA+BcGm6g4kuzWMcKZhVTzq6/CU9jPJk7uFirpoSkxS8WSzqt5SRlJrPm5t5&#10;Mb96+jlETO8UOJY3HY80u2Kp2L/HRI0Q9BGSa3m4N9aW+Vn/V4CAOVLlzk8d5l2aNtNZzgb6A6nZ&#10;hWi2A5UqegqcXC6Fzjcij/HPcyF9egW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ZRzlbXAAAA&#10;CwEAAA8AAAAAAAAAAQAgAAAAIgAAAGRycy9kb3ducmV2LnhtbFBLAQIUABQAAAAIAIdO4kAayYXn&#10;rAEAAE0DAAAOAAAAAAAAAAEAIAAAACYBAABkcnMvZTJvRG9jLnhtbFBLBQYAAAAABgAGAFkBAABE&#10;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阶段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治理内容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压减水量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（万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立方米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治理内容</w:t>
            </w:r>
          </w:p>
        </w:tc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投资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估算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责任部门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配合部门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渠道</w:t>
            </w:r>
          </w:p>
        </w:tc>
        <w:tc>
          <w:tcPr>
            <w:tcW w:w="30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节耗水量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折减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取水量</w:t>
            </w:r>
          </w:p>
        </w:tc>
        <w:tc>
          <w:tcPr>
            <w:tcW w:w="15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>2023</w:t>
            </w:r>
          </w:p>
        </w:tc>
        <w:tc>
          <w:tcPr>
            <w:tcW w:w="2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行业节水措施</w:t>
            </w:r>
          </w:p>
        </w:tc>
        <w:tc>
          <w:tcPr>
            <w:tcW w:w="66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工业节水措施</w:t>
            </w:r>
          </w:p>
        </w:tc>
        <w:tc>
          <w:tcPr>
            <w:tcW w:w="7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对超指标用水和超定额用水的企业，限制取水，责令整改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63.5</w:t>
            </w: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63.5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中卫工业园区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1"/>
                <w:kern w:val="0"/>
                <w:sz w:val="18"/>
                <w:szCs w:val="18"/>
              </w:rPr>
              <w:t>管委会</w:t>
            </w:r>
            <w:r>
              <w:rPr>
                <w:rFonts w:hint="default" w:ascii="Times New Roman" w:hAnsi="Times New Roman" w:cs="Times New Roman"/>
                <w:color w:val="000000"/>
                <w:spacing w:val="-11"/>
                <w:kern w:val="0"/>
                <w:sz w:val="18"/>
                <w:szCs w:val="18"/>
                <w:lang w:eastAsia="zh-CN"/>
              </w:rPr>
              <w:t>、区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1"/>
                <w:kern w:val="0"/>
                <w:sz w:val="18"/>
                <w:szCs w:val="18"/>
              </w:rPr>
              <w:t>工信局</w:t>
            </w: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自投</w:t>
            </w:r>
          </w:p>
        </w:tc>
        <w:tc>
          <w:tcPr>
            <w:tcW w:w="10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维持2021年措施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1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pct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生活节水措施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加强供水管网漏损控制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宁夏水投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宁夏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水投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实施“互联网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+城乡供水”控制漏损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1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pct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推动合同节水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4.75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4.75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区发改局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维持2022年措施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1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生态压减措施</w:t>
            </w: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压减城市生态补水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香山湖、应理湖、景观水道、十里水街等生态补水及公共绿化按指标用水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1609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1609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区综合执法局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维持2021年措施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1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压减绿化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用水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压减中卫工业园区绿化用水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中卫工业园区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管委会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维持2021年措施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1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水源置换措施</w:t>
            </w:r>
          </w:p>
        </w:tc>
        <w:tc>
          <w:tcPr>
            <w:tcW w:w="667" w:type="pct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非常规水水源置换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措施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应理湖等生态用水置换为一污中水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区综合执法局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区水务局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维持2022年措施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1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中卫工业园区企业用水置换为二污中水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中卫工业园区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管委会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维持2022年措施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1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管理节水措施</w:t>
            </w:r>
          </w:p>
        </w:tc>
        <w:tc>
          <w:tcPr>
            <w:tcW w:w="1404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严控灌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规模、取水口门节水管理措施、水权水市场改革措施、水价改革措施、水资源税改革措施、完善计量监测设施措施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区发改局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市政府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县域内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5065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6961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6845</w:t>
            </w:r>
          </w:p>
        </w:tc>
        <w:tc>
          <w:tcPr>
            <w:tcW w:w="5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满足压减耗水量4825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立方米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要求　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tabs>
          <w:tab w:val="left" w:pos="626"/>
        </w:tabs>
        <w:rPr>
          <w:rFonts w:hint="default" w:ascii="Times New Roman" w:hAnsi="Times New Roman" w:cs="Times New Roman"/>
        </w:rPr>
        <w:sectPr>
          <w:footerReference r:id="rId3" w:type="default"/>
          <w:pgSz w:w="16838" w:h="11906" w:orient="landscape"/>
          <w:pgMar w:top="2098" w:right="1474" w:bottom="1984" w:left="1587" w:header="851" w:footer="992" w:gutter="113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312" w:charSpace="0"/>
        </w:sectPr>
      </w:pP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6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2022-01-28T07:45:15Z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3053916A6832409196F264F920AA9288</vt:lpwstr>
  </property>
</Properties>
</file>