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4"/>
        </w:rPr>
      </w:pPr>
      <w:bookmarkStart w:id="0" w:name="_Toc85626062"/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  <w:r>
        <w:rPr>
          <w:rFonts w:hint="default" w:ascii="Times New Roman" w:hAnsi="Times New Roman" w:eastAsia="黑体" w:cs="Times New Roman"/>
          <w:sz w:val="28"/>
          <w:szCs w:val="24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28"/>
          <w:szCs w:val="24"/>
        </w:rPr>
      </w:pPr>
      <w:r>
        <w:rPr>
          <w:rFonts w:hint="default" w:ascii="Times New Roman" w:hAnsi="Times New Roman" w:eastAsia="黑体" w:cs="Times New Roman"/>
          <w:sz w:val="28"/>
          <w:szCs w:val="24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0"/>
        </w:rPr>
      </w:pPr>
      <w:r>
        <w:rPr>
          <w:rFonts w:hint="default" w:ascii="Times New Roman" w:hAnsi="Times New Roman" w:eastAsia="方正小标宋_GBK" w:cs="Times New Roman"/>
          <w:sz w:val="44"/>
          <w:szCs w:val="40"/>
        </w:rPr>
        <w:t>沙坡头区2022年水资源超载综合治理措施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0"/>
        </w:rPr>
        <w:t>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516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18"/>
        <w:gridCol w:w="685"/>
        <w:gridCol w:w="1142"/>
        <w:gridCol w:w="2181"/>
        <w:gridCol w:w="597"/>
        <w:gridCol w:w="802"/>
        <w:gridCol w:w="908"/>
        <w:gridCol w:w="1558"/>
        <w:gridCol w:w="1382"/>
        <w:gridCol w:w="788"/>
        <w:gridCol w:w="3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2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治理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措施</w:t>
            </w:r>
          </w:p>
        </w:tc>
        <w:tc>
          <w:tcPr>
            <w:tcW w:w="136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治理内容</w:t>
            </w:r>
          </w:p>
        </w:tc>
        <w:tc>
          <w:tcPr>
            <w:tcW w:w="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压减水量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（万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估算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配合部门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渠道</w:t>
            </w:r>
          </w:p>
        </w:tc>
        <w:tc>
          <w:tcPr>
            <w:tcW w:w="11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节耗水量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折减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取水量</w:t>
            </w: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2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行业节水措施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农业节水措施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高耗水作物压减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压减0.5万亩水稻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1581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在滨河镇、东园镇、柔远镇、永康镇合计压减水稻0.5万亩，改种为玉米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高效节水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灌溉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新建高效节灌2.5万亩</w:t>
            </w:r>
          </w:p>
        </w:tc>
        <w:tc>
          <w:tcPr>
            <w:tcW w:w="2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2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11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在永康镇5000亩、东园镇4000亩、宣和镇12400亩、柔远镇3600亩共新建2.5万亩玉米、经济林高效节灌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配套设施维护</w:t>
            </w:r>
          </w:p>
        </w:tc>
        <w:tc>
          <w:tcPr>
            <w:tcW w:w="2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11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加强田间用水管理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对水稻、玉米等作物用水严格按照《宁夏农业用水定额》核算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766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1494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压减后剩余1.5万亩水稻按照《宁夏农业用水定额》控制灌溉实施可节水151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/亩、自流灌区7万亩玉米按照《宁夏农业用水定额》畦灌实施可节水77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2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灌区节水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改造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末级渠道衬砌、干支渠运维、渠道建筑物改造、完善计量体系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县域内灌区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-470535</wp:posOffset>
                      </wp:positionH>
                      <wp:positionV relativeFrom="paragraph">
                        <wp:posOffset>146050</wp:posOffset>
                      </wp:positionV>
                      <wp:extent cx="448310" cy="4381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治理</w:t>
                                  </w:r>
                                </w:p>
                                <w:p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措施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7.05pt;margin-top:11.5pt;height:34.5pt;width:35.3pt;z-index:251660288;mso-width-relative:page;mso-height-relative:page;" filled="f" stroked="f" coordsize="21600,21600" o:gfxdata="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pqB69YAAAAI&#10;AQAADwAAAAAAAAABACAAAAAiAAAAZHJzL2Rvd25yZXYueG1sUEsBAhQAFAAAAAgAh07iQKhLGlus&#10;AQAATQMAAA4AAAAAAAAAAQAgAAAAJQ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治理</w:t>
                            </w:r>
                          </w:p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措施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-880110</wp:posOffset>
                      </wp:positionH>
                      <wp:positionV relativeFrom="paragraph">
                        <wp:posOffset>64135</wp:posOffset>
                      </wp:positionV>
                      <wp:extent cx="466090" cy="55245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9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阶段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9.3pt;margin-top:5.05pt;height:43.5pt;width:36.7pt;z-index:251659264;mso-width-relative:page;mso-height-relative:page;" filled="f" stroked="f" coordsize="21600,21600" o:gfxdata="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cqLVjXAAAA&#10;CgEAAA8AAAAAAAAAAQAgAAAAIgAAAGRycy9kb3ducmV2LnhtbFBLAQIUABQAAAAIAIdO4kAayYXn&#10;rAEAAE0DAAAOAAAAAAAAAAEAIAAAACY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阶段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治理内容</w:t>
            </w:r>
          </w:p>
        </w:tc>
        <w:tc>
          <w:tcPr>
            <w:tcW w:w="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压减水量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（万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估算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配合部门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渠道</w:t>
            </w:r>
          </w:p>
        </w:tc>
        <w:tc>
          <w:tcPr>
            <w:tcW w:w="11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9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节耗水量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折减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取水量</w:t>
            </w:r>
          </w:p>
        </w:tc>
        <w:tc>
          <w:tcPr>
            <w:tcW w:w="3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2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行业节水措施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工业节水措施</w:t>
            </w:r>
          </w:p>
        </w:tc>
        <w:tc>
          <w:tcPr>
            <w:tcW w:w="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对超指标用水和超定额用水的企业，限制取水，责令整改</w:t>
            </w:r>
          </w:p>
        </w:tc>
        <w:tc>
          <w:tcPr>
            <w:tcW w:w="2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工信局、中卫工业园区管委会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自投</w:t>
            </w:r>
          </w:p>
        </w:tc>
        <w:tc>
          <w:tcPr>
            <w:tcW w:w="11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维持2021年措施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生活节水措施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加强供水管网漏损控制</w:t>
            </w:r>
          </w:p>
        </w:tc>
        <w:tc>
          <w:tcPr>
            <w:tcW w:w="2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宁夏水投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水投</w:t>
            </w:r>
          </w:p>
        </w:tc>
        <w:tc>
          <w:tcPr>
            <w:tcW w:w="11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实施“互联网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+城乡供水”控制漏损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推动合同节水</w:t>
            </w:r>
          </w:p>
        </w:tc>
        <w:tc>
          <w:tcPr>
            <w:tcW w:w="2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4.75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4.75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区发改局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沙坡头区东园镇接入河北城乡供水工程后，北干渠管理所和郭滩学校生活污水</w:t>
            </w:r>
            <w:r>
              <w:rPr>
                <w:rFonts w:hint="default" w:ascii="Times New Roman" w:hAnsi="Times New Roman" w:eastAsia="宋体" w:cs="Times New Roman"/>
                <w:spacing w:val="-11"/>
                <w:sz w:val="18"/>
                <w:szCs w:val="18"/>
              </w:rPr>
              <w:t>改造项目可节约黄河耗水4.75万</w:t>
            </w:r>
            <w:r>
              <w:rPr>
                <w:rFonts w:hint="default" w:ascii="Times New Roman" w:hAnsi="Times New Roman" w:cs="Times New Roman"/>
                <w:spacing w:val="-11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spacing w:val="-11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生态压减措施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压减城市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生态补水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香山湖、应理湖、景观水道、十里水街等生态补水及公共绿化按指标用水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区综合执法局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维持2021年措施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压减绿化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用水</w:t>
            </w:r>
          </w:p>
        </w:tc>
        <w:tc>
          <w:tcPr>
            <w:tcW w:w="7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压减中卫工业园区绿化用水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中卫工业园区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维持2021年措施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水源置换措施</w:t>
            </w: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非常规水水源置换措施</w:t>
            </w:r>
          </w:p>
        </w:tc>
        <w:tc>
          <w:tcPr>
            <w:tcW w:w="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应理湖等生态用水置换为一污中水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区综合执法局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中卫一污向香山湖、应理湖、景观水系生态补水置换黄河水217万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中卫工业园区企业用水置换为二污中水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中卫工业园区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中卫工业园区内中卫二污向园区内企业供水，置换黄河水468万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管理节水措施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严控灌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规模、取水口门节水管理措施、水权水市场改革措施、水价改革措施、水资源税改革措施、完善计量监测设施措施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区发改局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县域内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4861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6662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9195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满足压减耗水量4774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要求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8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2022-01-28T07:44:39Z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7021FA11383741F382445C1F30F56A7A</vt:lpwstr>
  </property>
</Properties>
</file>