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  <w:r>
        <w:rPr>
          <w:rFonts w:hint="default" w:ascii="Times New Roman" w:hAnsi="Times New Roman" w:eastAsia="黑体" w:cs="Times New Roman"/>
          <w:sz w:val="28"/>
          <w:szCs w:val="24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0"/>
        </w:rPr>
      </w:pPr>
      <w:r>
        <w:rPr>
          <w:rFonts w:hint="default" w:ascii="Times New Roman" w:hAnsi="Times New Roman" w:eastAsia="方正小标宋_GBK" w:cs="Times New Roman"/>
          <w:sz w:val="44"/>
          <w:szCs w:val="40"/>
        </w:rPr>
        <w:t>沙坡头区2021年水资源超载综合治理措施表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515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69"/>
        <w:gridCol w:w="685"/>
        <w:gridCol w:w="1079"/>
        <w:gridCol w:w="2035"/>
        <w:gridCol w:w="744"/>
        <w:gridCol w:w="775"/>
        <w:gridCol w:w="1018"/>
        <w:gridCol w:w="1686"/>
        <w:gridCol w:w="1503"/>
        <w:gridCol w:w="866"/>
        <w:gridCol w:w="2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治理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措施</w:t>
            </w:r>
          </w:p>
        </w:tc>
        <w:tc>
          <w:tcPr>
            <w:tcW w:w="12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治理内容</w:t>
            </w:r>
          </w:p>
        </w:tc>
        <w:tc>
          <w:tcPr>
            <w:tcW w:w="5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压减水量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估算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5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配合部门</w:t>
            </w:r>
          </w:p>
        </w:tc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渠道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节耗水量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折减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取水量</w:t>
            </w:r>
          </w:p>
        </w:tc>
        <w:tc>
          <w:tcPr>
            <w:tcW w:w="3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  <w:t>2021</w:t>
            </w:r>
          </w:p>
        </w:tc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节水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措施</w:t>
            </w:r>
          </w:p>
        </w:tc>
        <w:tc>
          <w:tcPr>
            <w:tcW w:w="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农业节水措施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高耗水作物压减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压减0.5万亩水稻改为玉米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401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799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在迎水桥镇、滨河镇、柔远镇、常乐镇、永康镇、宣和镇合计压减水稻0.5万亩，改种为玉米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高效节水灌溉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提升改造高效节灌0.6万亩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在东园镇改造500亩、迎水桥镇改造2000亩，镇罗镇改造2500亩、柔远镇改造1000亩高效节灌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加强田间用水管理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对水稻、玉米等作物用水严格按照《宁夏农业用水定额》核算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687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1371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压减后剩余2万亩水稻按照《宁夏农业用水定额》控制灌溉实施可节水151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6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/亩、自流灌区5万亩玉米按照《宁夏农业用水定额》畦灌实施可节水77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6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灌区节水改造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末级渠道衬砌、干支渠运维、渠道建筑物改造、完善计量体系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县域内灌区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-499745</wp:posOffset>
                      </wp:positionH>
                      <wp:positionV relativeFrom="paragraph">
                        <wp:posOffset>146050</wp:posOffset>
                      </wp:positionV>
                      <wp:extent cx="448310" cy="43815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治理</w:t>
                                  </w:r>
                                </w:p>
                                <w:p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措施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9.35pt;margin-top:11.5pt;height:34.5pt;width:35.3pt;z-index:251660288;mso-width-relative:page;mso-height-relative:page;" filled="f" stroked="f" coordsize="21600,21600" o:gfxdata="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go47tYAAAAI&#10;AQAADwAAAAAAAAABACAAAAAiAAAAZHJzL2Rvd25yZXYueG1sUEsBAhQAFAAAAAgAh07iQKUmiL6s&#10;AQAATQMAAA4AAAAAAAAAAQAgAAAAJQ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治理</w:t>
                            </w:r>
                          </w:p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措施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-956945</wp:posOffset>
                      </wp:positionH>
                      <wp:positionV relativeFrom="paragraph">
                        <wp:posOffset>35560</wp:posOffset>
                      </wp:positionV>
                      <wp:extent cx="466090" cy="55245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9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阶段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5.35pt;margin-top:2.8pt;height:43.5pt;width:36.7pt;z-index:251659264;mso-width-relative:page;mso-height-relative:page;" filled="f" stroked="f" coordsize="21600,21600" o:gfxdata="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dnEXM1wAA&#10;AAkBAAAPAAAAAAAAAAEAIAAAACIAAABkcnMvZG93bnJldi54bWxQSwECFAAUAAAACACHTuJATHhC&#10;Eq0BAABNAwAADgAAAAAAAAABACAAAAAm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阶段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治理内容</w:t>
            </w:r>
          </w:p>
        </w:tc>
        <w:tc>
          <w:tcPr>
            <w:tcW w:w="5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压减水量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估算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5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配合部门</w:t>
            </w:r>
          </w:p>
        </w:tc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渠道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9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节耗水量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折减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取水量</w:t>
            </w:r>
          </w:p>
        </w:tc>
        <w:tc>
          <w:tcPr>
            <w:tcW w:w="3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  <w:t>2021</w:t>
            </w:r>
          </w:p>
        </w:tc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节水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措施</w:t>
            </w: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工业节水措施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企业节水改造</w:t>
            </w: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63.5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63.5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工信局、中卫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工业园区管委会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自投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宁夏宇光能源实业有限公司实施节水改造项目建设120万吨/年焦化厂焦化废水、清净下水综合污水处理站深度处理及中水回用项目，节水63.5万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6"/>
                <w:lang w:eastAsia="zh-CN"/>
              </w:rPr>
              <w:t>立方米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3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生活节水措施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加强供水管网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漏损控制</w:t>
            </w: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宁夏水投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水投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实施“互联网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+城乡供水”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控制漏损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3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生态压减措施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压减城市生态补水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香山湖、应理湖、景观水道、十里水街等生态补水及公共绿化按指标用水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1609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1609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区综合执法局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压减香山湖、应理湖、景观水道、十里水街等生态补水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1609万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6"/>
                <w:lang w:eastAsia="zh-CN"/>
              </w:rPr>
              <w:t>立方米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3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压减绿化用水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压减中卫工业园区绿化用水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563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563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中卫工业园区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中卫工业园区内按批复水量供绿化用水，压减绿化用水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563万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6"/>
                <w:lang w:eastAsia="zh-CN"/>
              </w:rPr>
              <w:t>立方米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3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管理节水措施</w:t>
            </w:r>
          </w:p>
        </w:tc>
        <w:tc>
          <w:tcPr>
            <w:tcW w:w="12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严控灌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规模、取水口门节水管理措施、水权水市场改革措施、水价改革措施、水资源税改革措施、完善计量监测设施措施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县域内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</w:rPr>
              <w:t>3394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</w:rPr>
              <w:t>4546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16"/>
              </w:rPr>
              <w:t>满足压减耗水量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16"/>
              </w:rPr>
              <w:t>3324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6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6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16"/>
              </w:rPr>
              <w:t>要求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4B54"/>
    <w:rsid w:val="0A3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2022-01-28T07:44:02Z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94696712C32D4AE8888A317AF3326905</vt:lpwstr>
  </property>
</Properties>
</file>