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ind w:firstLine="0" w:firstLineChars="0"/>
        <w:jc w:val="left"/>
        <w:rPr>
          <w:rFonts w:hint="default" w:ascii="Times New Roman" w:hAnsi="Times New Roman" w:eastAsia="黑体" w:cs="Times New Roman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bCs/>
          <w:sz w:val="32"/>
          <w:szCs w:val="32"/>
        </w:rPr>
        <w:t>附</w:t>
      </w:r>
      <w:r>
        <w:rPr>
          <w:rFonts w:hint="default" w:ascii="Times New Roman" w:hAnsi="Times New Roman" w:eastAsia="黑体" w:cs="Times New Roman"/>
          <w:bCs/>
          <w:sz w:val="32"/>
          <w:szCs w:val="32"/>
          <w:lang w:eastAsia="zh-CN"/>
        </w:rPr>
        <w:t>件</w:t>
      </w:r>
      <w:r>
        <w:rPr>
          <w:rFonts w:hint="default" w:ascii="Times New Roman" w:hAnsi="Times New Roman" w:eastAsia="黑体" w:cs="Times New Roman"/>
          <w:bCs/>
          <w:sz w:val="32"/>
          <w:szCs w:val="32"/>
          <w:lang w:val="en-US" w:eastAsia="zh-CN"/>
        </w:rPr>
        <w:t>6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0" w:firstLineChars="0"/>
        <w:jc w:val="center"/>
        <w:textAlignment w:val="auto"/>
        <w:rPr>
          <w:rFonts w:hint="default" w:ascii="Times New Roman" w:hAnsi="Times New Roman" w:eastAsia="方正小标宋_GBK" w:cs="Times New Roman"/>
          <w:bCs/>
          <w:spacing w:val="-6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_GBK" w:cs="Times New Roman"/>
          <w:bCs/>
          <w:spacing w:val="-6"/>
          <w:sz w:val="44"/>
          <w:szCs w:val="44"/>
          <w:lang w:val="en-US" w:eastAsia="zh-CN"/>
        </w:rPr>
        <w:t>宁夏黄河流域生态保护和高质量发展先行区建设-中部干旱带沙坡头香山兴仁片区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0" w:firstLineChars="0"/>
        <w:jc w:val="center"/>
        <w:textAlignment w:val="auto"/>
        <w:rPr>
          <w:rFonts w:hint="default" w:ascii="Times New Roman" w:hAnsi="Times New Roman" w:eastAsia="方正小标宋_GBK" w:cs="Times New Roman"/>
          <w:bCs/>
          <w:spacing w:val="-6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_GBK" w:cs="Times New Roman"/>
          <w:bCs/>
          <w:spacing w:val="-6"/>
          <w:sz w:val="44"/>
          <w:szCs w:val="44"/>
          <w:lang w:val="en-US" w:eastAsia="zh-CN"/>
        </w:rPr>
        <w:t>生态修复及灌区供水工程平面布置图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0" w:firstLineChars="0"/>
        <w:jc w:val="center"/>
        <w:textAlignment w:val="auto"/>
        <w:rPr>
          <w:rFonts w:hint="default" w:ascii="Times New Roman" w:hAnsi="Times New Roman" w:eastAsia="方正小标宋_GBK" w:cs="Times New Roman"/>
          <w:bCs/>
          <w:spacing w:val="-6"/>
          <w:sz w:val="44"/>
          <w:szCs w:val="44"/>
          <w:lang w:val="en-US" w:eastAsia="zh-CN"/>
        </w:rPr>
      </w:pPr>
    </w:p>
    <w:p>
      <w:pPr>
        <w:spacing w:line="360" w:lineRule="auto"/>
        <w:jc w:val="left"/>
        <w:rPr>
          <w:rFonts w:hint="default" w:ascii="Times New Roman" w:hAnsi="Times New Roman" w:eastAsia="仿宋" w:cs="Times New Roman"/>
          <w:bCs/>
          <w:szCs w:val="32"/>
        </w:rPr>
      </w:pPr>
      <w:r>
        <w:rPr>
          <w:rFonts w:hint="default" w:ascii="Times New Roman" w:hAnsi="Times New Roman" w:eastAsia="仿宋" w:cs="Times New Roman"/>
          <w:bCs/>
          <w:szCs w:val="32"/>
        </w:rPr>
        <w:drawing>
          <wp:inline distT="0" distB="0" distL="114300" distR="114300">
            <wp:extent cx="13095605" cy="6815455"/>
            <wp:effectExtent l="0" t="0" r="10795" b="4445"/>
            <wp:docPr id="2" name="图片 1" descr="2011-2019年高效项目汇总(已入库和未入库项目统计)（可用于查重）_recover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2011-2019年高效项目汇总(已入库和未入库项目统计)（可用于查重）_recover-Model"/>
                    <pic:cNvPicPr>
                      <a:picLocks noChangeAspect="1"/>
                    </pic:cNvPicPr>
                  </pic:nvPicPr>
                  <pic:blipFill>
                    <a:blip r:embed="rId5">
                      <a:lum bright="-6000" contrast="17998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5605" cy="681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 w:ascii="Times New Roman" w:hAnsi="Times New Roman" w:eastAsia="仿宋" w:cs="Times New Roman"/>
          <w:bCs/>
          <w:sz w:val="32"/>
          <w:szCs w:val="32"/>
        </w:rPr>
        <w:sectPr>
          <w:footerReference r:id="rId3" w:type="default"/>
          <w:pgSz w:w="23811" w:h="16838" w:orient="landscape"/>
          <w:pgMar w:top="2098" w:right="1474" w:bottom="1984" w:left="158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720" w:num="1"/>
          <w:docGrid w:type="lines" w:linePitch="312" w:charSpace="0"/>
        </w:sect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moder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ascii="宋体" w:hAnsi="宋体" w:eastAsia="宋体" w:cs="宋体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- 22 -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aGmCS9MAAAAFAQAADwAAAAAAAAABACAAAAAiAAAAZHJz&#10;L2Rvd25yZXYueG1sUEsBAhQAFAAAAAgAh07iQGBycTzQAQAAowMAAA4AAAAAAAAAAQAgAAAAIgEA&#10;AGRycy9lMm9Eb2MueG1sUEsFBgAAAAAGAAYAWQEAAGQFAAAAAA==&#10;">
              <v:path/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- 22 -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2DF3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next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zh-CN" w:eastAsia="zh-CN" w:bidi="zh-CN"/>
    </w:rPr>
  </w:style>
  <w:style w:type="paragraph" w:customStyle="1" w:styleId="6">
    <w:name w:val="正文（首行缩进两字）"/>
    <w:basedOn w:val="1"/>
    <w:qFormat/>
    <w:uiPriority w:val="0"/>
    <w:pPr>
      <w:ind w:firstLine="420" w:firstLineChars="200"/>
    </w:pPr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2022-01-20T08:09:18Z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A0AD439002244BF3B1BA78CD01C47052</vt:lpwstr>
  </property>
</Properties>
</file>