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黑体" w:cs="Times New Roman"/>
          <w:color w:val="auto"/>
        </w:rPr>
        <w:t>附</w:t>
      </w:r>
      <w:r>
        <w:rPr>
          <w:rFonts w:hint="default" w:ascii="Times New Roman" w:hAnsi="Times New Roman" w:eastAsia="黑体" w:cs="Times New Roman"/>
          <w:color w:val="auto"/>
          <w:lang w:val="en-US" w:eastAsia="zh-CN"/>
        </w:rPr>
        <w:t>件4</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color w:val="auto"/>
          <w:sz w:val="44"/>
          <w:szCs w:val="44"/>
          <w:lang w:val="en-US" w:eastAsia="zh-CN"/>
        </w:rPr>
      </w:pPr>
      <w:bookmarkStart w:id="0" w:name="_GoBack"/>
      <w:r>
        <w:rPr>
          <w:rFonts w:hint="default" w:ascii="Times New Roman" w:hAnsi="Times New Roman" w:eastAsia="方正小标宋_GBK" w:cs="Times New Roman"/>
          <w:color w:val="auto"/>
          <w:sz w:val="44"/>
          <w:szCs w:val="44"/>
          <w:lang w:val="en-US" w:eastAsia="zh-CN"/>
        </w:rPr>
        <w:t>健康促进县（区）评价标准</w:t>
      </w:r>
    </w:p>
    <w:bookmarkEnd w:id="0"/>
    <w:p>
      <w:pPr>
        <w:rPr>
          <w:rFonts w:hint="default" w:ascii="Times New Roman" w:hAnsi="Times New Roman" w:cs="Times New Roman"/>
          <w:lang w:val="en-US" w:eastAsia="zh-CN"/>
        </w:rPr>
      </w:pPr>
    </w:p>
    <w:tbl>
      <w:tblPr>
        <w:tblStyle w:val="4"/>
        <w:tblW w:w="14135" w:type="dxa"/>
        <w:jc w:val="center"/>
        <w:tblInd w:w="0" w:type="dxa"/>
        <w:tblLayout w:type="fixed"/>
        <w:tblCellMar>
          <w:top w:w="0" w:type="dxa"/>
          <w:left w:w="108" w:type="dxa"/>
          <w:bottom w:w="0" w:type="dxa"/>
          <w:right w:w="108" w:type="dxa"/>
        </w:tblCellMar>
      </w:tblPr>
      <w:tblGrid>
        <w:gridCol w:w="1571"/>
        <w:gridCol w:w="1875"/>
        <w:gridCol w:w="6180"/>
        <w:gridCol w:w="1109"/>
        <w:gridCol w:w="1110"/>
        <w:gridCol w:w="1340"/>
        <w:gridCol w:w="950"/>
      </w:tblGrid>
      <w:tr>
        <w:tblPrEx>
          <w:tblLayout w:type="fixed"/>
          <w:tblCellMar>
            <w:top w:w="0" w:type="dxa"/>
            <w:left w:w="108" w:type="dxa"/>
            <w:bottom w:w="0" w:type="dxa"/>
            <w:right w:w="108" w:type="dxa"/>
          </w:tblCellMar>
        </w:tblPrEx>
        <w:trPr>
          <w:trHeight w:val="393" w:hRule="atLeast"/>
          <w:tblHeader/>
          <w:jc w:val="center"/>
        </w:trPr>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一级指标</w:t>
            </w:r>
          </w:p>
        </w:tc>
        <w:tc>
          <w:tcPr>
            <w:tcW w:w="187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二级指标</w:t>
            </w:r>
          </w:p>
        </w:tc>
        <w:tc>
          <w:tcPr>
            <w:tcW w:w="61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评分标准</w:t>
            </w:r>
          </w:p>
        </w:tc>
        <w:tc>
          <w:tcPr>
            <w:tcW w:w="11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权重(分)</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评估办法</w:t>
            </w:r>
          </w:p>
        </w:tc>
        <w:tc>
          <w:tcPr>
            <w:tcW w:w="13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宋体" w:cs="Times New Roman"/>
                <w:b/>
                <w:bCs/>
                <w:color w:val="auto"/>
                <w:kern w:val="0"/>
                <w:sz w:val="22"/>
              </w:rPr>
            </w:pPr>
            <w:r>
              <w:rPr>
                <w:rFonts w:hint="default" w:ascii="Times New Roman" w:hAnsi="Times New Roman" w:eastAsia="宋体" w:cs="Times New Roman"/>
                <w:b/>
                <w:bCs/>
                <w:color w:val="auto"/>
                <w:kern w:val="0"/>
                <w:sz w:val="22"/>
              </w:rPr>
              <w:t>评估对象</w:t>
            </w:r>
          </w:p>
        </w:tc>
        <w:tc>
          <w:tcPr>
            <w:tcW w:w="9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得分</w:t>
            </w:r>
          </w:p>
        </w:tc>
      </w:tr>
      <w:tr>
        <w:tblPrEx>
          <w:tblLayout w:type="fixed"/>
          <w:tblCellMar>
            <w:top w:w="0" w:type="dxa"/>
            <w:left w:w="108" w:type="dxa"/>
            <w:bottom w:w="0" w:type="dxa"/>
            <w:right w:w="108" w:type="dxa"/>
          </w:tblCellMar>
        </w:tblPrEx>
        <w:trPr>
          <w:trHeight w:val="553" w:hRule="atLeast"/>
          <w:jc w:val="center"/>
        </w:trPr>
        <w:tc>
          <w:tcPr>
            <w:tcW w:w="1571" w:type="dxa"/>
            <w:vMerge w:val="restart"/>
            <w:tcBorders>
              <w:top w:val="nil"/>
              <w:left w:val="single" w:color="auto" w:sz="4" w:space="0"/>
              <w:bottom w:val="single" w:color="auto" w:sz="4" w:space="0"/>
              <w:right w:val="single" w:color="auto" w:sz="4" w:space="0"/>
            </w:tcBorders>
            <w:noWrap w:val="0"/>
            <w:vAlign w:val="center"/>
          </w:tcPr>
          <w:p>
            <w:pPr>
              <w:widowControl/>
              <w:numPr>
                <w:ilvl w:val="0"/>
                <w:numId w:val="0"/>
              </w:numPr>
              <w:spacing w:line="300" w:lineRule="exact"/>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一、</w:t>
            </w:r>
            <w:r>
              <w:rPr>
                <w:rFonts w:hint="default" w:ascii="Times New Roman" w:hAnsi="Times New Roman" w:eastAsia="仿宋" w:cs="Times New Roman"/>
                <w:color w:val="auto"/>
                <w:kern w:val="0"/>
                <w:sz w:val="21"/>
                <w:szCs w:val="21"/>
              </w:rPr>
              <w:t>组织管理（</w:t>
            </w:r>
            <w:r>
              <w:rPr>
                <w:rFonts w:hint="default" w:ascii="Times New Roman" w:hAnsi="Times New Roman" w:eastAsia="仿宋" w:cs="Times New Roman"/>
                <w:color w:val="auto"/>
                <w:kern w:val="0"/>
                <w:sz w:val="21"/>
                <w:szCs w:val="21"/>
                <w:lang w:val="en-US" w:eastAsia="zh-CN"/>
              </w:rPr>
              <w:t>150</w:t>
            </w:r>
            <w:r>
              <w:rPr>
                <w:rFonts w:hint="default" w:ascii="Times New Roman" w:hAnsi="Times New Roman" w:eastAsia="仿宋" w:cs="Times New Roman"/>
                <w:color w:val="auto"/>
                <w:kern w:val="0"/>
                <w:sz w:val="21"/>
                <w:szCs w:val="21"/>
              </w:rPr>
              <w:t>分）</w:t>
            </w: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cs="Times New Roman"/>
                <w:color w:val="auto"/>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p>
          <w:p>
            <w:pPr>
              <w:widowControl/>
              <w:numPr>
                <w:ilvl w:val="0"/>
                <w:numId w:val="0"/>
              </w:numPr>
              <w:spacing w:line="300" w:lineRule="exact"/>
              <w:jc w:val="both"/>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一、组织管理（</w:t>
            </w:r>
            <w:r>
              <w:rPr>
                <w:rFonts w:hint="default" w:ascii="Times New Roman" w:hAnsi="Times New Roman" w:eastAsia="仿宋" w:cs="Times New Roman"/>
                <w:color w:val="auto"/>
                <w:kern w:val="0"/>
                <w:sz w:val="21"/>
                <w:szCs w:val="21"/>
                <w:lang w:val="en-US" w:eastAsia="zh-CN"/>
              </w:rPr>
              <w:t>150</w:t>
            </w:r>
            <w:r>
              <w:rPr>
                <w:rFonts w:hint="default" w:ascii="Times New Roman" w:hAnsi="Times New Roman" w:eastAsia="仿宋" w:cs="Times New Roman"/>
                <w:color w:val="auto"/>
                <w:kern w:val="0"/>
                <w:sz w:val="21"/>
                <w:szCs w:val="21"/>
              </w:rPr>
              <w:t>分）</w:t>
            </w: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1.政府承诺</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（1）县（区）政府公开承诺</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查阅资料</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现场查看</w:t>
            </w: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both"/>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查阅资料</w:t>
            </w:r>
          </w:p>
        </w:tc>
        <w:tc>
          <w:tcPr>
            <w:tcW w:w="134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xml:space="preserve">政府 </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895"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（2）纳入政府重点工作（如纳入政府工作报告、发展规划等）</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824"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2.协调机制</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（1）县（区）长任组长得10分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分管县（区）长任组长得8分。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67"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（2）每召开1次领导协调会议得2.5分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两年不超过10分。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825"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3.工作网络</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（1）查阅机构数量和工作网络人员名单。网络覆盖率100%得10分、达50%得5分。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pStyle w:val="2"/>
              <w:rPr>
                <w:rFonts w:hint="default" w:ascii="Times New Roman" w:hAnsi="Times New Roman" w:cs="Times New Roman"/>
                <w:color w:val="auto"/>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政府</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有关部门</w:t>
            </w: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政府</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有关部门</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66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（2）查阅培训记录</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培训覆盖率100%得5分、达50%得3分。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965"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4.专业网络</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（1）查阅机构数量和专业网络人员名单。专业网络覆盖率100%得10分、达50%得5分。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49"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（2）查阅培训记录</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培训覆盖率100%得5分、达50%得3分。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860"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5.项目管理</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（1）开展基线调查（或社区诊断）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1152"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（2）完成基线调查报告（或社区诊断报告）</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当地主要健康问题/优先领域清晰</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健康促进资源分析合理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提出的干预策略和措施明确</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1202"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en-US" w:eastAsia="zh-CN"/>
              </w:rPr>
              <w:t>3</w:t>
            </w:r>
            <w:r>
              <w:rPr>
                <w:rFonts w:hint="default" w:ascii="Times New Roman" w:hAnsi="Times New Roman" w:eastAsia="仿宋" w:cs="Times New Roman"/>
                <w:color w:val="auto"/>
                <w:kern w:val="0"/>
                <w:sz w:val="21"/>
                <w:szCs w:val="21"/>
              </w:rPr>
              <w:t>）每开展1次政府牵头、多部门的联合督导和技术指导</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提出有针对性的工作建议</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最高20分。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973"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en-US" w:eastAsia="zh-CN"/>
              </w:rPr>
              <w:t>4</w:t>
            </w:r>
            <w:r>
              <w:rPr>
                <w:rFonts w:hint="default" w:ascii="Times New Roman" w:hAnsi="Times New Roman" w:eastAsia="仿宋" w:cs="Times New Roman"/>
                <w:color w:val="auto"/>
                <w:kern w:val="0"/>
                <w:sz w:val="21"/>
                <w:szCs w:val="21"/>
              </w:rPr>
              <w:t>）完成健康促进县（区）评估人群健康调查</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4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en-US" w:eastAsia="zh-CN"/>
              </w:rPr>
              <w:t>5</w:t>
            </w:r>
            <w:r>
              <w:rPr>
                <w:rFonts w:hint="default" w:ascii="Times New Roman" w:hAnsi="Times New Roman" w:eastAsia="仿宋" w:cs="Times New Roman"/>
                <w:color w:val="auto"/>
                <w:kern w:val="0"/>
                <w:sz w:val="21"/>
                <w:szCs w:val="21"/>
              </w:rPr>
              <w:t>）有各类场所建设过程评估资料</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84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6</w:t>
            </w:r>
            <w:r>
              <w:rPr>
                <w:rFonts w:hint="default" w:ascii="Times New Roman" w:hAnsi="Times New Roman" w:eastAsia="仿宋" w:cs="Times New Roman"/>
                <w:color w:val="auto"/>
                <w:kern w:val="0"/>
                <w:sz w:val="21"/>
                <w:szCs w:val="21"/>
              </w:rPr>
              <w:t>.经费保障</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（1）健康促进县（区）工作在当地财政立项得10分。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财政部门</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904"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（2）当地立项或配套的专项经费&lt;30万得5分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≥30万得10分。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46" w:hRule="atLeast"/>
          <w:jc w:val="center"/>
        </w:trPr>
        <w:tc>
          <w:tcPr>
            <w:tcW w:w="1571"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二、健康政策</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（160分）</w:t>
            </w: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1.宣传普及</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（1）举办</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将健康融入所有政策</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策略专题讲座或培训班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查阅资料</w:t>
            </w:r>
          </w:p>
        </w:tc>
        <w:tc>
          <w:tcPr>
            <w:tcW w:w="134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政府、各部门、乡镇、卫生健康部门</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852"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（2）县区政府主要领导、各部门、各街道/乡镇主要负责人参加讲座或培训班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0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（3）工作网络和专业网络人员参加</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7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2.公共政策健康审查制度</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（1）成立健康专家委员会</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1041"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（2）建立公共政策审查制度。相关部门在提出、起草、修订、发布等政策开发环节有专家委员会或健康领域行政人员和专家的参与</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650"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3.政策制定</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（1）每个政府部门政策梳理情况报告得3分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最高20分。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922"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（2）政府和相关部门补充、修订与健康有关的公共政策</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每制定1条政策得5分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最多30分。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1035"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4.跨部门行动</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（1）政府或多部门联合开展针对重点健康问题和重点人群的健康行动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每个行动得5分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最高30分。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91"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（2）每类创新得5分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最高20分。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894" w:hRule="atLeast"/>
          <w:jc w:val="center"/>
        </w:trPr>
        <w:tc>
          <w:tcPr>
            <w:tcW w:w="1571" w:type="dxa"/>
            <w:vMerge w:val="restart"/>
            <w:tcBorders>
              <w:top w:val="nil"/>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eastAsia="仿宋" w:cs="Times New Roman"/>
                <w:color w:val="auto"/>
                <w:kern w:val="0"/>
                <w:sz w:val="21"/>
                <w:szCs w:val="21"/>
                <w:lang w:val="en-US" w:eastAsia="zh-CN"/>
              </w:rPr>
            </w:pPr>
          </w:p>
          <w:p>
            <w:pPr>
              <w:pStyle w:val="2"/>
              <w:rPr>
                <w:rFonts w:hint="default" w:ascii="Times New Roman" w:hAnsi="Times New Roman" w:eastAsia="仿宋" w:cs="Times New Roman"/>
                <w:color w:val="auto"/>
                <w:kern w:val="0"/>
                <w:sz w:val="21"/>
                <w:szCs w:val="21"/>
                <w:lang w:val="en-US" w:eastAsia="zh-CN"/>
              </w:rPr>
            </w:pPr>
          </w:p>
          <w:p>
            <w:pPr>
              <w:rPr>
                <w:rFonts w:hint="default" w:ascii="Times New Roman" w:hAnsi="Times New Roman" w:cs="Times New Roman"/>
                <w:color w:val="auto"/>
                <w:lang w:val="en-US" w:eastAsia="zh-CN"/>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lang w:val="en-US" w:eastAsia="zh-CN"/>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三、</w:t>
            </w:r>
            <w:r>
              <w:rPr>
                <w:rFonts w:hint="default" w:ascii="Times New Roman" w:hAnsi="Times New Roman" w:eastAsia="仿宋" w:cs="Times New Roman"/>
                <w:color w:val="auto"/>
                <w:kern w:val="0"/>
                <w:sz w:val="21"/>
                <w:szCs w:val="21"/>
              </w:rPr>
              <w:t>健康场所（250分）</w:t>
            </w: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lang w:eastAsia="zh-CN"/>
              </w:rPr>
            </w:pPr>
          </w:p>
          <w:p>
            <w:pPr>
              <w:pStyle w:val="2"/>
              <w:rPr>
                <w:rFonts w:hint="default" w:ascii="Times New Roman" w:hAnsi="Times New Roman" w:cs="Times New Roman"/>
                <w:color w:val="auto"/>
                <w:lang w:eastAsia="zh-CN"/>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p>
          <w:p>
            <w:pPr>
              <w:widowControl/>
              <w:numPr>
                <w:ilvl w:val="0"/>
                <w:numId w:val="0"/>
              </w:numPr>
              <w:spacing w:line="300" w:lineRule="exact"/>
              <w:ind w:leftChars="0"/>
              <w:jc w:val="both"/>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三、健康场所</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（250分）</w:t>
            </w: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1.健康社区/村</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（1）有区域健康社区建设工作计划得5分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有区域健康社区/村督导评估报告和工作总结得5分。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cs="Times New Roman"/>
                <w:color w:val="auto"/>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查阅资料</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现场查看</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快速测评</w:t>
            </w: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cs="Times New Roman"/>
                <w:color w:val="auto"/>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查阅资料</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现场查看</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快速测评</w:t>
            </w:r>
          </w:p>
        </w:tc>
        <w:tc>
          <w:tcPr>
            <w:tcW w:w="134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乡镇、卫生健康部门</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28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（2）至少整理6个健康社区/村建设案例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28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（3）有20%达标健康社区和健康村名单得10分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有10%得5分。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7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（4）在建设县（区）提供的达标社区/村名单中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随机抽取1个社区/村开展现场考核</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记录现场考核得分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28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2.健康家庭</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（1）有健康家庭建设工作方案和总结资料得10分。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28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（2）有100户示范健康家庭名单得5分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有50户得3分。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28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（3）至少整理10户健康家庭案例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7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3.健康促进医院</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（1）有区域健康促进医院、无烟卫生健康单位建设方案得5分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有督导报告和工作总结得5分。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卫生健康部门</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7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（2）有40%达标的健康促进医院名单得10分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有30%达标的健康促进医院名单得5分。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28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（3）至少整理3个健康促进医院案例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7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（4）在政府提供的达标医疗卫生机构名单中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随机抽取1个医疗卫生机构开展现场考核</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记录现场考核得分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7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4.健康促进学校</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（1）有区域健康促进学校建设方案得5分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有督导报告和工作总结得5分。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政府</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有关部门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卫生健康部门</w:t>
            </w: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both"/>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p>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政府</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有关部门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卫生健康部门</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7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（2）有50%达标的健康促进学校名单得10分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有30%达标的健康促进医院名单得5分。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28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（3）至少整理3个健康促进学校案例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7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（4）在提供的达标健康促进学校名单中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随机抽取1个学校开展现场考核</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记录现场考核得分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81"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5.健康促进机关</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（1）有区域健康促进机关建设方案得5分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有督导报告和工作总结得5分。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05"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（2）有50%达标的健康促进机关名单得10分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有30%达标的健康促进医院名单得5分。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2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（3）至少整理3个健康促进机关案例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670"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（4）在政府提供的达标健康促进机关名单中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随机抽取1个机关开展现场考核</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记录现场考核得分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99"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6.健康促进企业</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（1）有区域健康促进企业建设方案得5分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有督导报告和工作总结得5分。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69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（2）有20%达标的健康促进企业名单得10分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有5%达标的健康促进医院名单得5分。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40"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（3）至少整理1个健康促进企业案例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70"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（4）在政府提供的达标健康促进企业名单中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随机抽取1个企业开展现场考核</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记录现场考核得分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699"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7.公共环境</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（1）建立无烟环境工作机制</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有工作计划得5分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有督导报告得5分。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57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（2）建设至少1个健康出题公园得5分。建设至少1条健康步道得5分。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810"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（3）评估时经过的道路、公共场所和公园步道</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有无烟标识、有健康提示、环境卫生无垃圾堆放、无烟头</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1281" w:hRule="atLeast"/>
          <w:jc w:val="center"/>
        </w:trPr>
        <w:tc>
          <w:tcPr>
            <w:tcW w:w="1571"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四、健康文化</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（150分）</w:t>
            </w:r>
          </w:p>
        </w:tc>
        <w:tc>
          <w:tcPr>
            <w:tcW w:w="1875"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1.媒体合作</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（1）建设满半年的电视台健康节目、广播电台健康节目、报纸健康栏目</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分别得5分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不满半年分别得3分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w:t>
            </w:r>
          </w:p>
        </w:tc>
        <w:tc>
          <w:tcPr>
            <w:tcW w:w="111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查阅资料</w:t>
            </w:r>
          </w:p>
        </w:tc>
        <w:tc>
          <w:tcPr>
            <w:tcW w:w="134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政府</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有关部门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卫生健康部门</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1395"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（2）组织1次媒体培训会或媒体交流活动（包括媒体培训会、交流会、通气会）得5分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最高15分。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1459"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2.新媒体健康传播</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每设立1个有专人维护、定期更新（至少每周更新一次）的健康类新媒体平台（微信公众号、微博账号）得20分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最高40分。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1152"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3.节日纪念日主题活动</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每举办1次符合要求的节日纪念日主题活动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最高40分。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141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4.健康传播</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各类媒体（包括电视、广播、报纸等）宣传报道健康促进县（区）相关工作进展</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每报道一次得2分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最高40分。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678" w:hRule="atLeast"/>
          <w:jc w:val="center"/>
        </w:trPr>
        <w:tc>
          <w:tcPr>
            <w:tcW w:w="1571"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五、健康环境</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（130分）</w:t>
            </w: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1.空气质量</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环境空气质量优良天数占比&gt;80%。酌情得分。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查阅资料</w:t>
            </w:r>
          </w:p>
        </w:tc>
        <w:tc>
          <w:tcPr>
            <w:tcW w:w="134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政府</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 xml:space="preserve">有关部门 </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91"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2.饮用水质量</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生活饮用水水质合格率达100%。酌情得分。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622"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3.食品安全</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食品监督抽检合格率达100%。酌情得分。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6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4.垃圾处理</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生活垃圾无害化处理率(</w:t>
            </w:r>
            <w:r>
              <w:rPr>
                <w:rFonts w:hint="default" w:ascii="Times New Roman" w:hAnsi="Times New Roman" w:eastAsia="仿宋" w:cs="Times New Roman"/>
                <w:color w:val="auto"/>
                <w:kern w:val="0"/>
                <w:sz w:val="21"/>
                <w:szCs w:val="21"/>
                <w:lang w:eastAsia="zh-CN"/>
              </w:rPr>
              <w:t>建成区</w:t>
            </w:r>
            <w:r>
              <w:rPr>
                <w:rFonts w:hint="default" w:ascii="Times New Roman" w:hAnsi="Times New Roman" w:eastAsia="仿宋" w:cs="Times New Roman"/>
                <w:color w:val="auto"/>
                <w:kern w:val="0"/>
                <w:sz w:val="21"/>
                <w:szCs w:val="21"/>
              </w:rPr>
              <w:t>)≥95%</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生活垃圾集中处理率(农村)≥90%。酌情得分。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6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5.污水处理</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生活污水集中处理率</w:t>
            </w:r>
            <w:r>
              <w:rPr>
                <w:rFonts w:hint="default" w:ascii="Times New Roman" w:hAnsi="Times New Roman" w:eastAsia="仿宋" w:cs="Times New Roman"/>
                <w:color w:val="auto"/>
                <w:kern w:val="0"/>
                <w:sz w:val="21"/>
                <w:szCs w:val="21"/>
                <w:lang w:eastAsia="zh-CN"/>
              </w:rPr>
              <w:t>，建成区</w:t>
            </w:r>
            <w:r>
              <w:rPr>
                <w:rFonts w:hint="default" w:ascii="Times New Roman" w:hAnsi="Times New Roman" w:eastAsia="仿宋" w:cs="Times New Roman"/>
                <w:color w:val="auto"/>
                <w:kern w:val="0"/>
                <w:sz w:val="21"/>
                <w:szCs w:val="21"/>
              </w:rPr>
              <w:t>达到95%</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农村地区达到30%。</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6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6.厕所</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建成区三类以上公厕比例≥80%</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农村无害化卫生厕所普及率≥60%。酌情得分。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97"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7.绿地</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eastAsia="zh-CN"/>
              </w:rPr>
              <w:t>建成区</w:t>
            </w:r>
            <w:r>
              <w:rPr>
                <w:rFonts w:hint="default" w:ascii="Times New Roman" w:hAnsi="Times New Roman" w:eastAsia="仿宋" w:cs="Times New Roman"/>
                <w:color w:val="auto"/>
                <w:kern w:val="0"/>
                <w:sz w:val="21"/>
                <w:szCs w:val="21"/>
              </w:rPr>
              <w:t>人均公园绿地面积≥14.6平方米。酌情得分。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26"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8.住房</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城镇居民人均住房面积达35平方米。酌情得分。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68"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9.体育设施</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人均体育场地面积达到1.8平方米。酌情得分。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41"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10.社会保障</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基本养老保险参保率达到90%。酌情得分。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12"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11.养老</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每千名老年人口拥有养老床位数达到35张。酌情得分。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55"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12.就业</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城镇登记失业率控制在5%以内。酌情得分。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454"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13.文化教育</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高中阶段教育毛入学率达到90%。酌情得分。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839" w:hRule="atLeast"/>
          <w:jc w:val="center"/>
        </w:trPr>
        <w:tc>
          <w:tcPr>
            <w:tcW w:w="1571"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六、健康人群</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（150分）</w:t>
            </w: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1.健康素养</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高于</w:t>
            </w:r>
            <w:r>
              <w:rPr>
                <w:rFonts w:hint="default" w:ascii="Times New Roman" w:hAnsi="Times New Roman" w:eastAsia="仿宋" w:cs="Times New Roman"/>
                <w:color w:val="auto"/>
                <w:kern w:val="0"/>
                <w:sz w:val="21"/>
                <w:szCs w:val="21"/>
                <w:lang w:eastAsia="zh-CN"/>
              </w:rPr>
              <w:t>自治区</w:t>
            </w:r>
            <w:r>
              <w:rPr>
                <w:rFonts w:hint="default" w:ascii="Times New Roman" w:hAnsi="Times New Roman" w:eastAsia="仿宋" w:cs="Times New Roman"/>
                <w:color w:val="auto"/>
                <w:kern w:val="0"/>
                <w:sz w:val="21"/>
                <w:szCs w:val="21"/>
              </w:rPr>
              <w:t>平均水平20%得50分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达到</w:t>
            </w:r>
            <w:r>
              <w:rPr>
                <w:rFonts w:hint="default" w:ascii="Times New Roman" w:hAnsi="Times New Roman" w:eastAsia="仿宋" w:cs="Times New Roman"/>
                <w:color w:val="auto"/>
                <w:kern w:val="0"/>
                <w:sz w:val="21"/>
                <w:szCs w:val="21"/>
                <w:lang w:eastAsia="zh-CN"/>
              </w:rPr>
              <w:t>自治区</w:t>
            </w:r>
            <w:r>
              <w:rPr>
                <w:rFonts w:hint="default" w:ascii="Times New Roman" w:hAnsi="Times New Roman" w:eastAsia="仿宋" w:cs="Times New Roman"/>
                <w:color w:val="auto"/>
                <w:kern w:val="0"/>
                <w:sz w:val="21"/>
                <w:szCs w:val="21"/>
              </w:rPr>
              <w:t>平均水平得30分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低于平均水平30%以内得10分,比平均水平低30%以上不得分。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50</w:t>
            </w:r>
          </w:p>
        </w:tc>
        <w:tc>
          <w:tcPr>
            <w:tcW w:w="111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r>
              <w:rPr>
                <w:rFonts w:hint="default" w:ascii="Times New Roman" w:hAnsi="Times New Roman" w:eastAsia="仿宋" w:cs="Times New Roman"/>
                <w:color w:val="auto"/>
                <w:kern w:val="0"/>
                <w:sz w:val="21"/>
                <w:szCs w:val="21"/>
              </w:rPr>
              <w:br w:type="textWrapping"/>
            </w:r>
            <w:r>
              <w:rPr>
                <w:rFonts w:hint="default" w:ascii="Times New Roman" w:hAnsi="Times New Roman" w:eastAsia="仿宋" w:cs="Times New Roman"/>
                <w:color w:val="auto"/>
                <w:kern w:val="0"/>
                <w:sz w:val="21"/>
                <w:szCs w:val="21"/>
              </w:rPr>
              <w:t>查阅资料</w:t>
            </w:r>
          </w:p>
        </w:tc>
        <w:tc>
          <w:tcPr>
            <w:tcW w:w="134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政府</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 xml:space="preserve">卫生健康和教育部门 </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922"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2.成人吸烟率</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比</w:t>
            </w:r>
            <w:r>
              <w:rPr>
                <w:rFonts w:hint="default" w:ascii="Times New Roman" w:hAnsi="Times New Roman" w:eastAsia="仿宋" w:cs="Times New Roman"/>
                <w:color w:val="auto"/>
                <w:kern w:val="0"/>
                <w:sz w:val="21"/>
                <w:szCs w:val="21"/>
                <w:lang w:eastAsia="zh-CN"/>
              </w:rPr>
              <w:t>自治区</w:t>
            </w:r>
            <w:r>
              <w:rPr>
                <w:rFonts w:hint="default" w:ascii="Times New Roman" w:hAnsi="Times New Roman" w:eastAsia="仿宋" w:cs="Times New Roman"/>
                <w:color w:val="auto"/>
                <w:kern w:val="0"/>
                <w:sz w:val="21"/>
                <w:szCs w:val="21"/>
              </w:rPr>
              <w:t>平均水平低20%得40分,低于</w:t>
            </w:r>
            <w:r>
              <w:rPr>
                <w:rFonts w:hint="default" w:ascii="Times New Roman" w:hAnsi="Times New Roman" w:eastAsia="仿宋" w:cs="Times New Roman"/>
                <w:color w:val="auto"/>
                <w:kern w:val="0"/>
                <w:sz w:val="21"/>
                <w:szCs w:val="21"/>
                <w:lang w:eastAsia="zh-CN"/>
              </w:rPr>
              <w:t>自治区</w:t>
            </w:r>
            <w:r>
              <w:rPr>
                <w:rFonts w:hint="default" w:ascii="Times New Roman" w:hAnsi="Times New Roman" w:eastAsia="仿宋" w:cs="Times New Roman"/>
                <w:color w:val="auto"/>
                <w:kern w:val="0"/>
                <w:sz w:val="21"/>
                <w:szCs w:val="21"/>
              </w:rPr>
              <w:t>平均水平得30分,比</w:t>
            </w:r>
            <w:r>
              <w:rPr>
                <w:rFonts w:hint="default" w:ascii="Times New Roman" w:hAnsi="Times New Roman" w:eastAsia="仿宋" w:cs="Times New Roman"/>
                <w:color w:val="auto"/>
                <w:kern w:val="0"/>
                <w:sz w:val="21"/>
                <w:szCs w:val="21"/>
                <w:lang w:eastAsia="zh-CN"/>
              </w:rPr>
              <w:t>自治区</w:t>
            </w:r>
            <w:r>
              <w:rPr>
                <w:rFonts w:hint="default" w:ascii="Times New Roman" w:hAnsi="Times New Roman" w:eastAsia="仿宋" w:cs="Times New Roman"/>
                <w:color w:val="auto"/>
                <w:kern w:val="0"/>
                <w:sz w:val="21"/>
                <w:szCs w:val="21"/>
              </w:rPr>
              <w:t>平均水平高30%以内得10分,比</w:t>
            </w:r>
            <w:r>
              <w:rPr>
                <w:rFonts w:hint="default" w:ascii="Times New Roman" w:hAnsi="Times New Roman" w:eastAsia="仿宋" w:cs="Times New Roman"/>
                <w:color w:val="auto"/>
                <w:kern w:val="0"/>
                <w:sz w:val="21"/>
                <w:szCs w:val="21"/>
                <w:lang w:eastAsia="zh-CN"/>
              </w:rPr>
              <w:t>自治区</w:t>
            </w:r>
            <w:r>
              <w:rPr>
                <w:rFonts w:hint="default" w:ascii="Times New Roman" w:hAnsi="Times New Roman" w:eastAsia="仿宋" w:cs="Times New Roman"/>
                <w:color w:val="auto"/>
                <w:kern w:val="0"/>
                <w:sz w:val="21"/>
                <w:szCs w:val="21"/>
              </w:rPr>
              <w:t>平均水平高30%不得分。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862"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3.经常参加体育锻炼人口比例</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经常参加体育锻炼的人口比例≥32%得30分,25%（含）~32%之间得15分,20%（含）~25%之间得5分,低于20%不得分。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720" w:hRule="atLeast"/>
          <w:jc w:val="center"/>
        </w:trPr>
        <w:tc>
          <w:tcPr>
            <w:tcW w:w="15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4.学生体质健康</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95%以上的学生达到合格以上等级得30分,94%以上的学生达到得20分,92%以上的学生达到得10分,低于92%以上的学生达到得0分。</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30</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1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1"/>
                <w:szCs w:val="21"/>
              </w:rPr>
            </w:pP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r>
        <w:tblPrEx>
          <w:tblLayout w:type="fixed"/>
          <w:tblCellMar>
            <w:top w:w="0" w:type="dxa"/>
            <w:left w:w="108" w:type="dxa"/>
            <w:bottom w:w="0" w:type="dxa"/>
            <w:right w:w="108" w:type="dxa"/>
          </w:tblCellMar>
        </w:tblPrEx>
        <w:trPr>
          <w:trHeight w:val="632" w:hRule="atLeast"/>
          <w:jc w:val="center"/>
        </w:trPr>
        <w:tc>
          <w:tcPr>
            <w:tcW w:w="1571"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合计</w:t>
            </w:r>
          </w:p>
        </w:tc>
        <w:tc>
          <w:tcPr>
            <w:tcW w:w="1875"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c>
          <w:tcPr>
            <w:tcW w:w="618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c>
          <w:tcPr>
            <w:tcW w:w="110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990</w:t>
            </w:r>
          </w:p>
        </w:tc>
        <w:tc>
          <w:tcPr>
            <w:tcW w:w="111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c>
          <w:tcPr>
            <w:tcW w:w="1340"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c>
          <w:tcPr>
            <w:tcW w:w="950" w:type="dxa"/>
            <w:tcBorders>
              <w:top w:val="nil"/>
              <w:left w:val="nil"/>
              <w:bottom w:val="single" w:color="auto" w:sz="4" w:space="0"/>
              <w:right w:val="single" w:color="auto" w:sz="4" w:space="0"/>
            </w:tcBorders>
            <w:noWrap w:val="0"/>
            <w:vAlign w:val="bottom"/>
          </w:tcPr>
          <w:p>
            <w:pPr>
              <w:widowControl/>
              <w:spacing w:line="300" w:lineRule="exact"/>
              <w:jc w:val="left"/>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620EE"/>
    <w:rsid w:val="29B6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2021-09-18T01:13:00Z</dcterms:created>
  <dc:creator>轨迹</dc:creator>
  <cp:lastModifiedBy>轨迹</cp:lastModifiedBy>
  <dcterms:modified xsi:type="dcterms:W3CDTF">2021-09-18T01:13:48Z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