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附件</w:t>
      </w:r>
    </w:p>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健康沙坡头区建设考核主要指标</w:t>
      </w:r>
    </w:p>
    <w:p>
      <w:pPr>
        <w:pStyle w:val="2"/>
        <w:rPr>
          <w:rFonts w:hint="default"/>
        </w:rPr>
      </w:pPr>
    </w:p>
    <w:tbl>
      <w:tblPr>
        <w:tblStyle w:val="5"/>
        <w:tblW w:w="96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3312"/>
        <w:gridCol w:w="1200"/>
        <w:gridCol w:w="1200"/>
        <w:gridCol w:w="1740"/>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448"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rPr>
              <w:t>序号</w:t>
            </w:r>
          </w:p>
        </w:tc>
        <w:tc>
          <w:tcPr>
            <w:tcW w:w="3312"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rPr>
              <w:t>指标</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rPr>
              <w:t>基期水平</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rPr>
              <w:t>2022年全区目标值</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rPr>
              <w:t>主要责任部门</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Times New Roman" w:hAnsi="Times New Roman" w:eastAsia="黑体" w:cs="Times New Roman"/>
              </w:rPr>
            </w:pPr>
            <w:r>
              <w:rPr>
                <w:rFonts w:hint="default" w:ascii="Times New Roman" w:hAnsi="Times New Roman" w:eastAsia="黑体" w:cs="Times New Roman"/>
              </w:rPr>
              <w:t>数据提供部门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1</w:t>
            </w:r>
          </w:p>
        </w:tc>
        <w:tc>
          <w:tcPr>
            <w:tcW w:w="3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人均预期寿命（岁）</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75.7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77</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区卫生健康局</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2</w:t>
            </w:r>
          </w:p>
        </w:tc>
        <w:tc>
          <w:tcPr>
            <w:tcW w:w="3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婴儿死亡率（%）</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5.45</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5</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区卫生健康局</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3</w:t>
            </w:r>
          </w:p>
        </w:tc>
        <w:tc>
          <w:tcPr>
            <w:tcW w:w="3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5岁以下儿童死亡率（‰）</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7.42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7</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区卫生健康局</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4</w:t>
            </w:r>
          </w:p>
        </w:tc>
        <w:tc>
          <w:tcPr>
            <w:tcW w:w="3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孕产妇死亡率（1/10万）</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16.7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15</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区卫生健康局</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5</w:t>
            </w:r>
          </w:p>
        </w:tc>
        <w:tc>
          <w:tcPr>
            <w:tcW w:w="3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城乡居民达到（</w:t>
            </w:r>
            <w:r>
              <w:rPr>
                <w:rFonts w:hint="default" w:ascii="Times New Roman" w:hAnsi="Times New Roman" w:eastAsia="仿宋_GB2312" w:cs="Times New Roman"/>
                <w:lang w:eastAsia="zh-CN"/>
              </w:rPr>
              <w:t>国民</w:t>
            </w:r>
            <w:r>
              <w:rPr>
                <w:rFonts w:hint="default" w:ascii="Times New Roman" w:hAnsi="Times New Roman" w:eastAsia="仿宋_GB2312" w:cs="Times New Roman"/>
              </w:rPr>
              <w:t>体质测定标准）合格以上的人数比例（%）</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87.8</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91</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区旅游和文化体育广电局</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区旅游和文化体育广电局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6</w:t>
            </w:r>
          </w:p>
        </w:tc>
        <w:tc>
          <w:tcPr>
            <w:tcW w:w="3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居民健康素养水平（%）</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12.88</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20</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区卫生健康局</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7</w:t>
            </w:r>
          </w:p>
        </w:tc>
        <w:tc>
          <w:tcPr>
            <w:tcW w:w="3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经常参加体育锻炼人数比例（%）</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2014年为29</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37</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区旅游和文化体育广电局</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区旅游和文化体育广电局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8</w:t>
            </w:r>
          </w:p>
        </w:tc>
        <w:tc>
          <w:tcPr>
            <w:tcW w:w="3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重大慢性病过早死亡率（%）</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21.95</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19.23</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区卫生健康局</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9</w:t>
            </w:r>
          </w:p>
        </w:tc>
        <w:tc>
          <w:tcPr>
            <w:tcW w:w="3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每千名常住人口执业（助理）医师人数（人）</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2.82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3</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区卫生健康局</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10</w:t>
            </w:r>
          </w:p>
        </w:tc>
        <w:tc>
          <w:tcPr>
            <w:tcW w:w="3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个人卫生支出占卫生总费用的比重（%）</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27.96</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27.5</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区卫生健康局</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11</w:t>
            </w:r>
          </w:p>
        </w:tc>
        <w:tc>
          <w:tcPr>
            <w:tcW w:w="3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健康产业（亿元）</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2017年201.09</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364.02</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区卫生健康局</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12</w:t>
            </w:r>
          </w:p>
        </w:tc>
        <w:tc>
          <w:tcPr>
            <w:tcW w:w="3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沙坡头区城市空气质量优良天数比率（%）</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75.9</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78</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区生态环境分局</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13</w:t>
            </w:r>
          </w:p>
        </w:tc>
        <w:tc>
          <w:tcPr>
            <w:tcW w:w="3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黄河流域中卫段国控断面水质优良（达到或优于Ⅲ类）比例（%）</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73.3</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达到国家考核标准</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区生态环境分局</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区生态环境分局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14</w:t>
            </w:r>
          </w:p>
        </w:tc>
        <w:tc>
          <w:tcPr>
            <w:tcW w:w="3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城市生活污水集中处理率（%）</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95.32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96</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区住房城乡建设和交通局</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区住房城乡建设和交通局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15</w:t>
            </w:r>
          </w:p>
        </w:tc>
        <w:tc>
          <w:tcPr>
            <w:tcW w:w="3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城市生活垃圾无害化处理率（%）</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98.69</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99</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区住房城乡建设和交通局</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区住房城乡建设和交通局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16</w:t>
            </w:r>
          </w:p>
        </w:tc>
        <w:tc>
          <w:tcPr>
            <w:tcW w:w="3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农村生活垃圾处理率（%）</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76.57</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90</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区住房城乡建设和交通局</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区住房城乡建设和交通局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17</w:t>
            </w:r>
          </w:p>
        </w:tc>
        <w:tc>
          <w:tcPr>
            <w:tcW w:w="3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建立并完善健康科普专家库和资源库，构建健康科普知识发布和传播机制</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实现</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区卫生健康局</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18</w:t>
            </w:r>
          </w:p>
        </w:tc>
        <w:tc>
          <w:tcPr>
            <w:tcW w:w="3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建立医疗机构和医务人员开展健康教育和健康促进的绩效考核机制</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实现</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区卫生健康局</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19</w:t>
            </w:r>
          </w:p>
        </w:tc>
        <w:tc>
          <w:tcPr>
            <w:tcW w:w="3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产前筛查率（%）</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≥70</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区卫生健康局</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20</w:t>
            </w:r>
          </w:p>
        </w:tc>
        <w:tc>
          <w:tcPr>
            <w:tcW w:w="3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新生儿遗传代谢性疾病筛查率（%）</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≥98</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区卫生健康局</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21</w:t>
            </w:r>
          </w:p>
        </w:tc>
        <w:tc>
          <w:tcPr>
            <w:tcW w:w="3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农村适龄妇女宫颈癌和乳腺癌筛查覆盖率（%）</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≥80</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区卫生健康局</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22</w:t>
            </w:r>
          </w:p>
        </w:tc>
        <w:tc>
          <w:tcPr>
            <w:tcW w:w="3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国家学生体质健康标准达标优良率（%）</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2019年31.82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≥50</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区教育局</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23</w:t>
            </w:r>
          </w:p>
        </w:tc>
        <w:tc>
          <w:tcPr>
            <w:tcW w:w="3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符合要求的中小学体育与健康课程开课率（%）</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≥100</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区教育局</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24</w:t>
            </w:r>
          </w:p>
        </w:tc>
        <w:tc>
          <w:tcPr>
            <w:tcW w:w="3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中小学生每天校内体育活动时间（小时）</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≥1</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区教育局</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5" w:hRule="atLeast"/>
          <w:jc w:val="center"/>
        </w:trPr>
        <w:tc>
          <w:tcPr>
            <w:tcW w:w="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25</w:t>
            </w:r>
          </w:p>
        </w:tc>
        <w:tc>
          <w:tcPr>
            <w:tcW w:w="3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寄宿制中小学或600名学生以上的非寄宿制中小学配备专职卫生专业技术人员、600名学生以下的非寄宿制中小学校配备专兼职保健教师或卫生专业技术人员的比例（%）</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≥70</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区教育局</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26</w:t>
            </w:r>
          </w:p>
        </w:tc>
        <w:tc>
          <w:tcPr>
            <w:tcW w:w="3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配备专兼职心理健康工作人员的中小学校的比例（%）</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80</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区教育局</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27</w:t>
            </w:r>
          </w:p>
        </w:tc>
        <w:tc>
          <w:tcPr>
            <w:tcW w:w="3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接尘工龄不足5年劳动者年新发尘肺病报告比例（%）</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明显下降</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区卫生健康局</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28</w:t>
            </w:r>
          </w:p>
        </w:tc>
        <w:tc>
          <w:tcPr>
            <w:tcW w:w="3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二级以上综合性医院设老年医学科比例（%）</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明显下降</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区卫生健康局</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29</w:t>
            </w:r>
          </w:p>
        </w:tc>
        <w:tc>
          <w:tcPr>
            <w:tcW w:w="3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高血压患者规范管理率（%）</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≥50</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区卫生健康局</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30</w:t>
            </w:r>
          </w:p>
        </w:tc>
        <w:tc>
          <w:tcPr>
            <w:tcW w:w="3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糖尿病患者规范管理率（%）</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78.65</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≥83</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区卫生健康局</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31</w:t>
            </w:r>
          </w:p>
        </w:tc>
        <w:tc>
          <w:tcPr>
            <w:tcW w:w="3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乡镇卫生院、社区卫生服务中心提供中医非药物疗法的比例（%）、村卫生室提供中医非药物疗法的比例（%）</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100</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70</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区卫生健康局</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32</w:t>
            </w:r>
          </w:p>
        </w:tc>
        <w:tc>
          <w:tcPr>
            <w:tcW w:w="3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以乡镇为单位适龄儿童免疫规划疫苗报告接种率（%）</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90</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≥90</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区卫生健康局</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33</w:t>
            </w:r>
          </w:p>
        </w:tc>
        <w:tc>
          <w:tcPr>
            <w:tcW w:w="3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人均体育场地面积（平方米）</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2.15</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2.3</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区旅游和文化体育广电局</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区旅游和文化体育广电局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448"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34</w:t>
            </w:r>
          </w:p>
        </w:tc>
        <w:tc>
          <w:tcPr>
            <w:tcW w:w="331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农村卫生厕所普及率（%）</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32</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川区85%以上、山区明显提高</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区农业农村局</w:t>
            </w:r>
          </w:p>
        </w:tc>
        <w:tc>
          <w:tcPr>
            <w:tcW w:w="17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rPr>
            </w:pPr>
            <w:r>
              <w:rPr>
                <w:rFonts w:hint="default" w:ascii="Times New Roman" w:hAnsi="Times New Roman" w:eastAsia="仿宋_GB2312" w:cs="Times New Roman"/>
              </w:rPr>
              <w:t>区农业农村局</w:t>
            </w:r>
          </w:p>
        </w:tc>
      </w:tr>
    </w:tbl>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1"/>
          <w:szCs w:val="21"/>
        </w:rPr>
        <w:t>注：未写明年份的基线水平，均为2018年数值</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sz w:val="24"/>
          <w:szCs w:val="24"/>
        </w:rPr>
        <w:sectPr>
          <w:footerReference r:id="rId3" w:type="default"/>
          <w:pgSz w:w="11906" w:h="16838"/>
          <w:pgMar w:top="2098" w:right="1474" w:bottom="1985" w:left="1588" w:header="851" w:footer="992" w:gutter="0"/>
          <w:pgNumType w:fmt="numberInDash"/>
          <w:cols w:space="425"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947C08"/>
    <w:rsid w:val="0A947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szCs w:val="18"/>
    </w:rPr>
  </w:style>
  <w:style w:type="paragraph" w:styleId="3">
    <w:name w:val="header"/>
    <w:basedOn w:val="1"/>
    <w:next w:val="2"/>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2020-12-15T02:00:00Z</dcterms:created>
  <dc:creator>豆豆呀</dc:creator>
  <cp:lastModifiedBy>豆豆呀</cp:lastModifiedBy>
  <dcterms:modified xsi:type="dcterms:W3CDTF">2020-12-15T02:01:21Z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