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olor w:val="auto"/>
          <w:sz w:val="32"/>
          <w:szCs w:val="32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</w:rPr>
        <w:t>沙坡头区慢</w:t>
      </w:r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lang w:eastAsia="zh-CN"/>
        </w:rPr>
        <w:t>性</w:t>
      </w:r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</w:rPr>
        <w:t>病综合防控示范区</w:t>
      </w:r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lang w:eastAsia="zh-CN"/>
        </w:rPr>
        <w:t>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</w:rPr>
        <w:t>联</w:t>
      </w:r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lang w:val="en-US" w:eastAsia="zh-CN"/>
        </w:rPr>
        <w:t>席</w:t>
      </w:r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</w:rPr>
        <w:t>会议</w:t>
      </w:r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_GBK" w:cs="Times New Roman"/>
          <w:i w:val="0"/>
          <w:iCs w:val="0"/>
          <w:color w:val="auto"/>
          <w:sz w:val="44"/>
          <w:szCs w:val="44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为了确保沙坡头区慢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病综合防控示范区建设工作的顺利实施，建立沙坡头区慢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病综合防控示范区建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设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联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席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会议制度。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一、沙坡头区慢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病综合防控示范区建设领导小组各成员单位必须确定1名联络员，上报沙坡头区慢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病综合防控示范区建设领导小组办公室，具体负责本部门（单位）慢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病综合防控示范区建设各项工作各种任务的上传下达。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各成员单位联络员原则不能变更，确需变更时，必须报请领导小组审批并备案。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二、根据实际工作情况召开慢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病综合防控示范区建设工作联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席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会议，会上要通报建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设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工作进展情况，各成员单位要汇报本部门（单位）慢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病综合防控示范区建设进展情况及存在问题，领导小组组长对各部门（单位）示范区建设工作进行点评，并对下一步慢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病综合防控示范区建设工作进行安排部署。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三、联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席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会议实行签到制。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原则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不得请假，必须请假者须直接向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沙坡头区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慢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病综合防控示范区建设领导小组组长请假。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四、请各成员单位于20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日前将联络员姓名、联系方式上报至沙坡头区慢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  <w:lang w:eastAsia="zh-CN"/>
        </w:rPr>
        <w:t>性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sz w:val="32"/>
          <w:szCs w:val="32"/>
        </w:rPr>
        <w:t>病综合防控示范区建设领导小组办公室。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：康彦炜，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联系方式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0955-7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988687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电子邮箱：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begin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instrText xml:space="preserve">HYPERLINK "mailto:zwswsj@163.com"</w:instrTex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943145850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@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qq</w:t>
      </w:r>
      <w:r>
        <w:rPr>
          <w:rStyle w:val="6"/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.com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fldChar w:fldCharType="end"/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216B2A"/>
    <w:rsid w:val="2D216B2A"/>
    <w:rsid w:val="55A4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2020-11-10T08:38:00Z</dcterms:created>
  <dc:creator>豆豆呀</dc:creator>
  <cp:lastModifiedBy>豆豆呀</cp:lastModifiedBy>
  <dcterms:modified xsi:type="dcterms:W3CDTF">2020-11-10T09:33:50Z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