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015" w:type="dxa"/>
        <w:jc w:val="center"/>
        <w:tblLayout w:type="autofit"/>
        <w:tblCellMar>
          <w:top w:w="0" w:type="dxa"/>
          <w:left w:w="0" w:type="dxa"/>
          <w:bottom w:w="0" w:type="dxa"/>
          <w:right w:w="0" w:type="dxa"/>
        </w:tblCellMar>
      </w:tblPr>
      <w:tblGrid>
        <w:gridCol w:w="495"/>
        <w:gridCol w:w="4440"/>
        <w:gridCol w:w="2085"/>
        <w:gridCol w:w="2295"/>
        <w:gridCol w:w="1755"/>
        <w:gridCol w:w="2280"/>
        <w:gridCol w:w="1035"/>
        <w:gridCol w:w="630"/>
      </w:tblGrid>
      <w:tr>
        <w:tblPrEx>
          <w:tblCellMar>
            <w:top w:w="0" w:type="dxa"/>
            <w:left w:w="0" w:type="dxa"/>
            <w:bottom w:w="0" w:type="dxa"/>
            <w:right w:w="0" w:type="dxa"/>
          </w:tblCellMar>
        </w:tblPrEx>
        <w:trPr>
          <w:trHeight w:val="740" w:hRule="atLeast"/>
          <w:jc w:val="center"/>
        </w:trPr>
        <w:tc>
          <w:tcPr>
            <w:tcW w:w="15015"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32"/>
                <w:szCs w:val="32"/>
                <w:u w:val="none"/>
                <w:lang w:val="en-US" w:eastAsia="zh-CN" w:bidi="ar"/>
              </w:rPr>
              <w:t>附件：</w:t>
            </w:r>
          </w:p>
        </w:tc>
      </w:tr>
      <w:tr>
        <w:tblPrEx>
          <w:tblCellMar>
            <w:top w:w="0" w:type="dxa"/>
            <w:left w:w="0" w:type="dxa"/>
            <w:bottom w:w="0" w:type="dxa"/>
            <w:right w:w="0" w:type="dxa"/>
          </w:tblCellMar>
        </w:tblPrEx>
        <w:trPr>
          <w:trHeight w:val="980" w:hRule="atLeast"/>
          <w:jc w:val="center"/>
        </w:trPr>
        <w:tc>
          <w:tcPr>
            <w:tcW w:w="15015" w:type="dxa"/>
            <w:gridSpan w:val="8"/>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小标宋_GBK" w:cs="Times New Roman"/>
                <w:i w:val="0"/>
                <w:color w:val="000000"/>
                <w:kern w:val="0"/>
                <w:sz w:val="44"/>
                <w:szCs w:val="44"/>
                <w:u w:val="none"/>
                <w:lang w:val="en-US" w:eastAsia="zh-CN" w:bidi="ar"/>
              </w:rPr>
            </w:pPr>
            <w:r>
              <w:rPr>
                <w:rFonts w:hint="default" w:ascii="Times New Roman" w:hAnsi="Times New Roman" w:eastAsia="方正小标宋_GBK" w:cs="Times New Roman"/>
                <w:i w:val="0"/>
                <w:color w:val="000000"/>
                <w:kern w:val="0"/>
                <w:sz w:val="44"/>
                <w:szCs w:val="44"/>
                <w:u w:val="none"/>
                <w:lang w:val="en-US" w:eastAsia="zh-CN" w:bidi="ar"/>
              </w:rPr>
              <w:t>沙坡头区“投资法规执法检查 疏解治理投资堵点”专项行动任务分工及进展</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小标宋_GBK" w:cs="Times New Roman"/>
                <w:i w:val="0"/>
                <w:color w:val="000000"/>
                <w:sz w:val="44"/>
                <w:szCs w:val="44"/>
                <w:u w:val="none"/>
              </w:rPr>
            </w:pPr>
            <w:r>
              <w:rPr>
                <w:rFonts w:hint="default" w:ascii="Times New Roman" w:hAnsi="Times New Roman" w:eastAsia="方正小标宋_GBK" w:cs="Times New Roman"/>
                <w:i w:val="0"/>
                <w:color w:val="000000"/>
                <w:kern w:val="0"/>
                <w:sz w:val="44"/>
                <w:szCs w:val="44"/>
                <w:u w:val="none"/>
                <w:lang w:val="en-US" w:eastAsia="zh-CN" w:bidi="ar"/>
              </w:rPr>
              <w:t>情况表</w:t>
            </w:r>
          </w:p>
        </w:tc>
      </w:tr>
      <w:tr>
        <w:tblPrEx>
          <w:tblCellMar>
            <w:top w:w="0" w:type="dxa"/>
            <w:left w:w="0" w:type="dxa"/>
            <w:bottom w:w="0" w:type="dxa"/>
            <w:right w:w="0" w:type="dxa"/>
          </w:tblCellMar>
        </w:tblPrEx>
        <w:trPr>
          <w:trHeight w:val="90" w:hRule="atLeast"/>
          <w:jc w:val="center"/>
        </w:trPr>
        <w:tc>
          <w:tcPr>
            <w:tcW w:w="15015"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楷体简体" w:cs="Times New Roman"/>
                <w:i w:val="0"/>
                <w:color w:val="000000"/>
                <w:sz w:val="20"/>
                <w:szCs w:val="20"/>
                <w:u w:val="none"/>
              </w:rPr>
            </w:pPr>
            <w:r>
              <w:rPr>
                <w:rFonts w:hint="default" w:ascii="Times New Roman" w:hAnsi="Times New Roman" w:eastAsia="方正楷体简体" w:cs="Times New Roman"/>
                <w:i w:val="0"/>
                <w:color w:val="000000"/>
                <w:kern w:val="0"/>
                <w:sz w:val="20"/>
                <w:szCs w:val="20"/>
                <w:u w:val="none"/>
                <w:lang w:val="en-US" w:eastAsia="zh-CN" w:bidi="ar"/>
              </w:rPr>
              <w:t xml:space="preserve">填报单位：                                                                                                                                                                              </w:t>
            </w:r>
          </w:p>
        </w:tc>
      </w:tr>
      <w:tr>
        <w:tblPrEx>
          <w:tblCellMar>
            <w:top w:w="0" w:type="dxa"/>
            <w:left w:w="0" w:type="dxa"/>
            <w:bottom w:w="0" w:type="dxa"/>
            <w:right w:w="0" w:type="dxa"/>
          </w:tblCellMar>
        </w:tblPrEx>
        <w:trPr>
          <w:trHeight w:val="600"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序号</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工作任务</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工作开展情况</w:t>
            </w:r>
            <w:r>
              <w:rPr>
                <w:rFonts w:hint="default" w:ascii="Times New Roman" w:hAnsi="Times New Roman" w:eastAsia="宋体" w:cs="Times New Roman"/>
                <w:b/>
                <w:i w:val="0"/>
                <w:color w:val="000000"/>
                <w:kern w:val="0"/>
                <w:sz w:val="20"/>
                <w:szCs w:val="20"/>
                <w:u w:val="none"/>
                <w:lang w:val="en-US" w:eastAsia="zh-CN" w:bidi="ar"/>
              </w:rPr>
              <w:br w:type="textWrapping"/>
            </w:r>
            <w:r>
              <w:rPr>
                <w:rFonts w:hint="default" w:ascii="Times New Roman" w:hAnsi="Times New Roman" w:eastAsia="宋体" w:cs="Times New Roman"/>
                <w:b/>
                <w:i w:val="0"/>
                <w:color w:val="000000"/>
                <w:kern w:val="0"/>
                <w:sz w:val="20"/>
                <w:szCs w:val="20"/>
                <w:u w:val="none"/>
                <w:lang w:val="en-US" w:eastAsia="zh-CN" w:bidi="ar"/>
              </w:rPr>
              <w:t>（自查情况）</w:t>
            </w: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发现问题及</w:t>
            </w:r>
            <w:r>
              <w:rPr>
                <w:rFonts w:hint="default" w:ascii="Times New Roman" w:hAnsi="Times New Roman" w:eastAsia="宋体" w:cs="Times New Roman"/>
                <w:b/>
                <w:i w:val="0"/>
                <w:color w:val="000000"/>
                <w:kern w:val="0"/>
                <w:sz w:val="20"/>
                <w:szCs w:val="20"/>
                <w:u w:val="none"/>
                <w:lang w:val="en-US" w:eastAsia="zh-CN" w:bidi="ar"/>
              </w:rPr>
              <w:br w:type="textWrapping"/>
            </w:r>
            <w:r>
              <w:rPr>
                <w:rFonts w:hint="default" w:ascii="Times New Roman" w:hAnsi="Times New Roman" w:eastAsia="宋体" w:cs="Times New Roman"/>
                <w:b/>
                <w:i w:val="0"/>
                <w:color w:val="000000"/>
                <w:kern w:val="0"/>
                <w:sz w:val="20"/>
                <w:szCs w:val="20"/>
                <w:u w:val="none"/>
                <w:lang w:val="en-US" w:eastAsia="zh-CN" w:bidi="ar"/>
              </w:rPr>
              <w:t>纠正情况</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主要做法</w:t>
            </w:r>
            <w:r>
              <w:rPr>
                <w:rFonts w:hint="default" w:ascii="Times New Roman" w:hAnsi="Times New Roman" w:eastAsia="宋体" w:cs="Times New Roman"/>
                <w:b/>
                <w:i w:val="0"/>
                <w:color w:val="000000"/>
                <w:kern w:val="0"/>
                <w:sz w:val="20"/>
                <w:szCs w:val="20"/>
                <w:u w:val="none"/>
                <w:lang w:val="en-US" w:eastAsia="zh-CN" w:bidi="ar"/>
              </w:rPr>
              <w:br w:type="textWrapping"/>
            </w:r>
            <w:r>
              <w:rPr>
                <w:rFonts w:hint="default" w:ascii="Times New Roman" w:hAnsi="Times New Roman" w:eastAsia="宋体" w:cs="Times New Roman"/>
                <w:b/>
                <w:i w:val="0"/>
                <w:color w:val="000000"/>
                <w:kern w:val="0"/>
                <w:sz w:val="20"/>
                <w:szCs w:val="20"/>
                <w:u w:val="none"/>
                <w:lang w:val="en-US" w:eastAsia="zh-CN" w:bidi="ar"/>
              </w:rPr>
              <w:t>和成效</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责任部门</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配合部门</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497"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w:t>
            </w:r>
          </w:p>
        </w:tc>
        <w:tc>
          <w:tcPr>
            <w:tcW w:w="1389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全面开展投资审批合法性审查</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b/>
                <w:i w:val="0"/>
                <w:color w:val="000000"/>
                <w:sz w:val="20"/>
                <w:szCs w:val="20"/>
                <w:u w:val="none"/>
              </w:rPr>
            </w:pPr>
          </w:p>
        </w:tc>
      </w:tr>
      <w:tr>
        <w:tblPrEx>
          <w:tblCellMar>
            <w:top w:w="0" w:type="dxa"/>
            <w:left w:w="0" w:type="dxa"/>
            <w:bottom w:w="0" w:type="dxa"/>
            <w:right w:w="0" w:type="dxa"/>
          </w:tblCellMar>
        </w:tblPrEx>
        <w:trPr>
          <w:trHeight w:val="1470"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进一步审查清理投资审批事项，重点清理以政府规章、行政规范性文件。</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司法局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政务服务中心</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各部门</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各乡镇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2200"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审查清理增设审批事项、审批环节，增加审批前置条件、证明材料等情况。</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80"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发展和改革局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工业信息化和商务局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住房城乡建设和交通局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自然资源局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水务局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生态环境分局</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各部门</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各乡镇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680"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w:t>
            </w:r>
          </w:p>
        </w:tc>
        <w:tc>
          <w:tcPr>
            <w:tcW w:w="1452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治理投资政策堵点</w:t>
            </w:r>
          </w:p>
        </w:tc>
      </w:tr>
      <w:tr>
        <w:tblPrEx>
          <w:tblCellMar>
            <w:top w:w="0" w:type="dxa"/>
            <w:left w:w="0" w:type="dxa"/>
            <w:bottom w:w="0" w:type="dxa"/>
            <w:right w:w="0" w:type="dxa"/>
          </w:tblCellMar>
        </w:tblPrEx>
        <w:trPr>
          <w:trHeight w:val="1355"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深入查找纠正国家、自治区及中卫市相关政策不落地、执行“中梗阻”，规划、产业政策等不完善、不清晰，行业准入存在“玻璃门”“隐性门槛”</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80"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发展和改革局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工业信息化和商务局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自然资源局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生态环境分局</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各部门</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995"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招商引资工作中引资条件与当地投资政策、建设要求不衔接，导致“新官不理旧账”、不按合同办事、轻诺寡信等影响投资信心和预期的问题。</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工业信息化和商务局</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各部门</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各乡镇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615"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三</w:t>
            </w:r>
          </w:p>
        </w:tc>
        <w:tc>
          <w:tcPr>
            <w:tcW w:w="1452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治理行政审批“堵点”。</w:t>
            </w:r>
          </w:p>
        </w:tc>
      </w:tr>
      <w:tr>
        <w:tblPrEx>
          <w:tblCellMar>
            <w:top w:w="0" w:type="dxa"/>
            <w:left w:w="0" w:type="dxa"/>
            <w:bottom w:w="0" w:type="dxa"/>
            <w:right w:w="0" w:type="dxa"/>
          </w:tblCellMar>
        </w:tblPrEx>
        <w:trPr>
          <w:trHeight w:val="1680"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深入查找和纠正实际工作中违规增加审批事项、审批环节、前置要件、证明材料，审批效率低下，不同部门审批标准、要求不一致等问题。</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80"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发展和改革局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工业信息化和商务局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住房城乡建设和交通局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自然资源局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水务局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生态环境分局</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各部门</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各乡镇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1792"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深入查找和纠正实际工作中违背项目单位意愿和违反项目前期工作规律及客观实际、僵化套用“审批流程”、强行要求项目单位对有关审批事项先办、后办、代办、等待一起办等问题。</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80"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发展和改革局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工业信息化和商务局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住房城乡建设和交通局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自然资源局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水务局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生态环境分局</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各部门</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各乡镇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2007"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深入查找和纠正实际工作中设置所谓“审批前期服务环节”、对实质审查“体外循环”、对审批时间弄虚作假等问题。</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80"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发展和改革局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工业信息化和商务局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住房城乡建设和交通局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自然资源局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水务局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生态环境分局</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各部门</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各乡镇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2275"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深入查找和纠正实际工作中强制指定中介服务机构、强制收费增加企业负担等问题。</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80"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发展和改革局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工业信息化和商务局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住房城乡建设和交通局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自然资源局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水务局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政务服务中心</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生态环境分局</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各部门</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各乡镇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607"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四</w:t>
            </w:r>
          </w:p>
        </w:tc>
        <w:tc>
          <w:tcPr>
            <w:tcW w:w="1452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治理建设条件落实“堵点”。</w:t>
            </w:r>
          </w:p>
        </w:tc>
      </w:tr>
      <w:tr>
        <w:tblPrEx>
          <w:tblCellMar>
            <w:top w:w="0" w:type="dxa"/>
            <w:left w:w="0" w:type="dxa"/>
            <w:bottom w:w="0" w:type="dxa"/>
            <w:right w:w="0" w:type="dxa"/>
          </w:tblCellMar>
        </w:tblPrEx>
        <w:trPr>
          <w:trHeight w:val="761"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深入查找和纠正空间规划、发展建设规划和投资政策不衔接等问题。</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80"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发展和改革局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自然资源局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住房城乡建设和交通局</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各部门</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各乡镇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755"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深入查找和纠正重大项目推进机制不健全，落实建设条件会商协调工作薄弱问题。</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80"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发展和改革局</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各部门</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各乡镇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780"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深入查找和纠正政府投资资金下达、拨付不及时不到位问题。</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80"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财政局</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各部门</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各乡镇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840"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深入查找和纠正因参与三条控制红线划定工作不够导致论证不充分、脱离实际以及划定冲突和边界矛盾解决不到位等问题。</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80"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自然资源局</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各部门</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各乡镇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600"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五</w:t>
            </w:r>
          </w:p>
        </w:tc>
        <w:tc>
          <w:tcPr>
            <w:tcW w:w="1452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疏解数据“堵点”方面。</w:t>
            </w:r>
          </w:p>
        </w:tc>
      </w:tr>
      <w:tr>
        <w:tblPrEx>
          <w:tblCellMar>
            <w:top w:w="0" w:type="dxa"/>
            <w:left w:w="0" w:type="dxa"/>
            <w:bottom w:w="0" w:type="dxa"/>
            <w:right w:w="0" w:type="dxa"/>
          </w:tblCellMar>
        </w:tblPrEx>
        <w:trPr>
          <w:trHeight w:val="1280"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深入查找和纠正投资管理工作和投资统计脱节，对投资统计制度改革的实际影响认识不到位、对项目单位及时报送数据督促不够、投资数据入统不及时不全面导致数据失真等问题。</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统计局</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各部门</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各乡镇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605"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六</w:t>
            </w:r>
          </w:p>
        </w:tc>
        <w:tc>
          <w:tcPr>
            <w:tcW w:w="1452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规范PPP项目建设</w:t>
            </w:r>
          </w:p>
        </w:tc>
      </w:tr>
      <w:tr>
        <w:tblPrEx>
          <w:tblCellMar>
            <w:top w:w="0" w:type="dxa"/>
            <w:left w:w="0" w:type="dxa"/>
            <w:bottom w:w="0" w:type="dxa"/>
            <w:right w:w="0" w:type="dxa"/>
          </w:tblCellMar>
        </w:tblPrEx>
        <w:trPr>
          <w:trHeight w:val="1005"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深入查找和纠正向民间资本推介重点领域项目、采取措施鼓励民间资本参与政府投资和及时更新进展信息不到位的问题。</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发展和改革局</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水务局</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1245"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深入查找和纠正PPP项目开展可行性论证和审查、自治区投资项目在线审批监管平台PPP项目信息监测服务和向社会公开重点推进PPP项目信息存在的问题。</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发展和改革局</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水务局</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600"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七</w:t>
            </w:r>
          </w:p>
        </w:tc>
        <w:tc>
          <w:tcPr>
            <w:tcW w:w="1452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贯彻落实《政府投资条例》</w:t>
            </w:r>
          </w:p>
        </w:tc>
      </w:tr>
      <w:tr>
        <w:tblPrEx>
          <w:tblCellMar>
            <w:top w:w="0" w:type="dxa"/>
            <w:left w:w="0" w:type="dxa"/>
            <w:bottom w:w="0" w:type="dxa"/>
            <w:right w:w="0" w:type="dxa"/>
          </w:tblCellMar>
        </w:tblPrEx>
        <w:trPr>
          <w:trHeight w:val="1220"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按照《国家发展改革委关于做好〈政府投资条例〉贯彻实施工作的通知》（发改投资〔2019〕796号），加快完成普法培训全覆盖、现行制度“立改废”等工作。</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发展和改革局</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各部门</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各乡镇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1210"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切实将《政府投资条例》关键条款执行到位，对包括建立项目储备机制、编制政府投资年度计划、规范项目决策程序、加强投资计划与预算的衔接等条款落实到位。</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发展和改革局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财政局</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各部门</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各乡镇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920"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查找和纠正未批先建、自批自建、擅自调整投资概算、决策审查流于形式导致批后难以实施、对建设内容和建设规模较大变更监管不到位等问题。</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发展和改革局</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各部门</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各乡镇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550"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八</w:t>
            </w:r>
          </w:p>
        </w:tc>
        <w:tc>
          <w:tcPr>
            <w:tcW w:w="1452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全面落实《企业投资项目核准和备案管理条例》</w:t>
            </w:r>
          </w:p>
        </w:tc>
      </w:tr>
      <w:tr>
        <w:tblPrEx>
          <w:tblCellMar>
            <w:top w:w="0" w:type="dxa"/>
            <w:left w:w="0" w:type="dxa"/>
            <w:bottom w:w="0" w:type="dxa"/>
            <w:right w:w="0" w:type="dxa"/>
          </w:tblCellMar>
        </w:tblPrEx>
        <w:trPr>
          <w:trHeight w:val="2114"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严格落实《产业结构调整目录（2019年本）》《宁夏回族自治区政府核准的投资项目目录（2017年本）》《宁夏回族自治区企业投资项目核准和备案管理办法》（宁政办发〔2017〕153号）等相关文件，查找和纠正将项目备案变相成为行政许可行为、擅自干预企业自主经营权及对违反产业政策等项目监管不到位等问题。</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发展和改革局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工业信息化和商务局</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555"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九</w:t>
            </w:r>
          </w:p>
        </w:tc>
        <w:tc>
          <w:tcPr>
            <w:tcW w:w="1452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加强投资项目事中事后监管</w:t>
            </w:r>
          </w:p>
        </w:tc>
      </w:tr>
      <w:tr>
        <w:tblPrEx>
          <w:tblCellMar>
            <w:top w:w="0" w:type="dxa"/>
            <w:left w:w="0" w:type="dxa"/>
            <w:bottom w:w="0" w:type="dxa"/>
            <w:right w:w="0" w:type="dxa"/>
          </w:tblCellMar>
        </w:tblPrEx>
        <w:trPr>
          <w:trHeight w:val="1800" w:hRule="atLeast"/>
          <w:jc w:val="center"/>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按照“谁审批谁监管、谁主管谁监管”原则，重点针对政府投资项目、企业投资项目开展事中事后核查，并做好全过程记录留痕。重点核查项目是否按照核准的建设地点、建设规模、建设内容等进行建设，督导项目单位通过在线审批平台及时填写项目开工、进度及竣工信息。</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发展和改革局</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工业信息化和商务局</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bl>
    <w:p>
      <w:pPr>
        <w:rPr>
          <w:rFonts w:hint="default" w:ascii="Times New Roman" w:hAnsi="Times New Roman" w:cs="Times New Roman"/>
          <w:lang w:val="en-US" w:eastAsia="zh-CN"/>
        </w:rPr>
        <w:sectPr>
          <w:pgSz w:w="16838" w:h="11906" w:orient="landscape"/>
          <w:pgMar w:top="2098" w:right="1474" w:bottom="1984" w:left="1587" w:header="851" w:footer="992" w:gutter="0"/>
          <w:pgNumType w:fmt="numberInDash"/>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简体">
    <w:altName w:val="楷体_GB2312"/>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84DE3"/>
    <w:rsid w:val="012F0A8E"/>
    <w:rsid w:val="61F84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2020-04-09T07:45:00Z</dcterms:created>
  <dc:creator>不明觉厉</dc:creator>
  <cp:lastModifiedBy>不明觉厉</cp:lastModifiedBy>
  <dcterms:modified xsi:type="dcterms:W3CDTF">2020-04-09T07:46:03Z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