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小标宋_GBK" w:cs="Times New Roman"/>
          <w:color w:val="000000" w:themeColor="text1"/>
          <w:sz w:val="40"/>
          <w:szCs w:val="40"/>
          <w:lang w:val="en-US" w:eastAsia="zh-CN"/>
          <w14:textFill>
            <w14:solidFill>
              <w14:schemeClr w14:val="tx1"/>
            </w14:solidFill>
          </w14:textFill>
        </w:rPr>
      </w:pPr>
      <w:bookmarkStart w:id="0" w:name="_GoBack"/>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社会公益事业建设领域政府信息公开目录清单</w:t>
      </w:r>
    </w:p>
    <w:bookmarkEnd w:id="0"/>
    <w:p>
      <w:pPr>
        <w:pStyle w:val="3"/>
        <w:rPr>
          <w:rFonts w:hint="default" w:ascii="Times New Roman" w:hAnsi="Times New Roman" w:cs="Times New Roman"/>
          <w:color w:val="000000" w:themeColor="text1"/>
          <w:sz w:val="16"/>
          <w:szCs w:val="22"/>
          <w:lang w:val="en-US" w:eastAsia="zh-CN"/>
          <w14:textFill>
            <w14:solidFill>
              <w14:schemeClr w14:val="tx1"/>
            </w14:solidFill>
          </w14:textFill>
        </w:rPr>
      </w:pPr>
    </w:p>
    <w:tbl>
      <w:tblPr>
        <w:tblStyle w:val="7"/>
        <w:tblW w:w="13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062"/>
        <w:gridCol w:w="4666"/>
        <w:gridCol w:w="770"/>
        <w:gridCol w:w="2600"/>
        <w:gridCol w:w="293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543" w:type="dxa"/>
            <w:vAlign w:val="center"/>
          </w:tcPr>
          <w:p>
            <w:pPr>
              <w:jc w:val="center"/>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0"/>
                <w:szCs w:val="20"/>
                <w:vertAlign w:val="baseline"/>
                <w:lang w:val="en-US" w:eastAsia="zh-CN" w:bidi="ar-SA"/>
                <w14:textFill>
                  <w14:solidFill>
                    <w14:schemeClr w14:val="tx1"/>
                  </w14:solidFill>
                </w14:textFill>
              </w:rPr>
              <w:t>序号</w:t>
            </w:r>
          </w:p>
        </w:tc>
        <w:tc>
          <w:tcPr>
            <w:tcW w:w="1062" w:type="dxa"/>
            <w:vAlign w:val="center"/>
          </w:tcPr>
          <w:p>
            <w:pPr>
              <w:jc w:val="both"/>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0"/>
                <w:szCs w:val="20"/>
                <w:vertAlign w:val="baseline"/>
                <w:lang w:val="en-US" w:eastAsia="zh-CN" w:bidi="ar-SA"/>
                <w14:textFill>
                  <w14:solidFill>
                    <w14:schemeClr w14:val="tx1"/>
                  </w14:solidFill>
                </w14:textFill>
              </w:rPr>
              <w:t>公开事项</w:t>
            </w:r>
          </w:p>
        </w:tc>
        <w:tc>
          <w:tcPr>
            <w:tcW w:w="4666" w:type="dxa"/>
            <w:vAlign w:val="center"/>
          </w:tcPr>
          <w:p>
            <w:pPr>
              <w:ind w:firstLine="1606" w:firstLineChars="800"/>
              <w:jc w:val="both"/>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0"/>
                <w:szCs w:val="20"/>
                <w:vertAlign w:val="baseline"/>
                <w:lang w:val="en-US" w:eastAsia="zh-CN" w:bidi="ar-SA"/>
                <w14:textFill>
                  <w14:solidFill>
                    <w14:schemeClr w14:val="tx1"/>
                  </w14:solidFill>
                </w14:textFill>
              </w:rPr>
              <w:t>公开主要内容</w:t>
            </w:r>
          </w:p>
        </w:tc>
        <w:tc>
          <w:tcPr>
            <w:tcW w:w="770" w:type="dxa"/>
            <w:vAlign w:val="center"/>
          </w:tcPr>
          <w:p>
            <w:pPr>
              <w:jc w:val="center"/>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0"/>
                <w:szCs w:val="20"/>
                <w:vertAlign w:val="baseline"/>
                <w:lang w:val="en-US" w:eastAsia="zh-CN" w:bidi="ar-SA"/>
                <w14:textFill>
                  <w14:solidFill>
                    <w14:schemeClr w14:val="tx1"/>
                  </w14:solidFill>
                </w14:textFill>
              </w:rPr>
              <w:t>公开时限</w:t>
            </w:r>
          </w:p>
        </w:tc>
        <w:tc>
          <w:tcPr>
            <w:tcW w:w="2600" w:type="dxa"/>
            <w:vAlign w:val="center"/>
          </w:tcPr>
          <w:p>
            <w:pPr>
              <w:ind w:firstLine="402" w:firstLineChars="200"/>
              <w:jc w:val="both"/>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0"/>
                <w:szCs w:val="20"/>
                <w:vertAlign w:val="baseline"/>
                <w:lang w:val="en-US" w:eastAsia="zh-CN" w:bidi="ar-SA"/>
                <w14:textFill>
                  <w14:solidFill>
                    <w14:schemeClr w14:val="tx1"/>
                  </w14:solidFill>
                </w14:textFill>
              </w:rPr>
              <w:t>公开方式（渠道）</w:t>
            </w:r>
          </w:p>
        </w:tc>
        <w:tc>
          <w:tcPr>
            <w:tcW w:w="2932" w:type="dxa"/>
            <w:vAlign w:val="center"/>
          </w:tcPr>
          <w:p>
            <w:pPr>
              <w:ind w:firstLine="402" w:firstLineChars="200"/>
              <w:jc w:val="center"/>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0"/>
                <w:szCs w:val="20"/>
                <w:vertAlign w:val="baseline"/>
                <w:lang w:val="en-US" w:eastAsia="zh-CN" w:bidi="ar-SA"/>
                <w14:textFill>
                  <w14:solidFill>
                    <w14:schemeClr w14:val="tx1"/>
                  </w14:solidFill>
                </w14:textFill>
              </w:rPr>
              <w:t>责任单位</w:t>
            </w:r>
          </w:p>
        </w:tc>
        <w:tc>
          <w:tcPr>
            <w:tcW w:w="1290" w:type="dxa"/>
            <w:vAlign w:val="center"/>
          </w:tcPr>
          <w:p>
            <w:pPr>
              <w:jc w:val="center"/>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20"/>
                <w:szCs w:val="20"/>
                <w:vertAlign w:val="baseline"/>
                <w:lang w:val="en-US" w:eastAsia="zh-CN" w:bidi="ar-SA"/>
                <w14:textFill>
                  <w14:solidFill>
                    <w14:schemeClr w14:val="tx1"/>
                  </w14:solidFill>
                </w14:textFill>
              </w:rPr>
              <w:t>监督渠道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2" w:hRule="atLeast"/>
        </w:trPr>
        <w:tc>
          <w:tcPr>
            <w:tcW w:w="543" w:type="dxa"/>
            <w:vAlign w:val="center"/>
          </w:tcPr>
          <w:p>
            <w:pPr>
              <w:jc w:val="center"/>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t>1</w:t>
            </w:r>
          </w:p>
        </w:tc>
        <w:tc>
          <w:tcPr>
            <w:tcW w:w="1062" w:type="dxa"/>
            <w:vAlign w:val="center"/>
          </w:tcPr>
          <w:p>
            <w:pPr>
              <w:jc w:val="center"/>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脱贫攻坚领域</w:t>
            </w:r>
          </w:p>
        </w:tc>
        <w:tc>
          <w:tcPr>
            <w:tcW w:w="4666" w:type="dxa"/>
            <w:vAlign w:val="center"/>
          </w:tcPr>
          <w:p>
            <w:pPr>
              <w:jc w:val="left"/>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及时向社会公开国家及自治区、中卫市、沙坡头区出台的扶贫政策、扶贫规划及扶贫项目名称、资金来源、实施期限、预期目标、实施结果、实施单位及其责任人、举报电话、检查验收结果等信息。切实加强产业扶贫、易地扶贫搬迁、金融扶贫、科技扶贫、教育扶贫、社会扶贫、健康扶贫、旅游扶贫、驻村帮扶、贫困村提升工程、贫困劳动力职业技能培训、扶贫资金管理等重点工作信息的公开。强化向特定区域、特定群体公开贫困识别、贫困退出、扶贫资金分配和使用情况、帮扶责任人、扶贫成效等信息。注重运用技术手段实现公开的信息可检索、可核查、可利用，为社会各界参与脱贫攻坚事业提供服务，方便人民群众监督。</w:t>
            </w:r>
          </w:p>
        </w:tc>
        <w:tc>
          <w:tcPr>
            <w:tcW w:w="770" w:type="dxa"/>
            <w:vAlign w:val="center"/>
          </w:tcPr>
          <w:p>
            <w:pPr>
              <w:jc w:val="center"/>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t>实时公开</w:t>
            </w:r>
          </w:p>
        </w:tc>
        <w:tc>
          <w:tcPr>
            <w:tcW w:w="2600" w:type="dxa"/>
            <w:vAlign w:val="center"/>
          </w:tcPr>
          <w:p>
            <w:pPr>
              <w:jc w:val="left"/>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沙坡头区政府门户网站，“宁夏政务服务网”网上大厅等政务服务平台，政府公报、政务新媒体、政府新闻发布会、广播电视、报纸杂志、公示栏、宣传册等平台和办事大厅、便民服务窗口等场所，以及主流新闻媒体、新闻网站等</w:t>
            </w:r>
          </w:p>
        </w:tc>
        <w:tc>
          <w:tcPr>
            <w:tcW w:w="2932" w:type="dxa"/>
            <w:vAlign w:val="center"/>
          </w:tcPr>
          <w:p>
            <w:pPr>
              <w:jc w:val="left"/>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区扶贫开发办公室、区委组织部、发展和改革局、教育局、科学技术局、工业信息化和商务局、民政和社会保障局、财政局、自然资源局、住房城乡建设和交通局、水务局、农业农村局、旅游和文化体育广电局、卫生健康局、审计局、医疗保障局、生态环境分局，有关国有企业，各乡镇人民政府</w:t>
            </w:r>
          </w:p>
        </w:tc>
        <w:tc>
          <w:tcPr>
            <w:tcW w:w="1290" w:type="dxa"/>
            <w:vAlign w:val="center"/>
          </w:tcPr>
          <w:p>
            <w:pPr>
              <w:jc w:val="left"/>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社会公众、新闻媒体</w:t>
            </w:r>
          </w:p>
        </w:tc>
      </w:tr>
    </w:tbl>
    <w:p>
      <w:pPr>
        <w:jc w:val="left"/>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pPr>
    </w:p>
    <w:p>
      <w:pPr>
        <w:jc w:val="left"/>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pPr>
    </w:p>
    <w:tbl>
      <w:tblPr>
        <w:tblStyle w:val="7"/>
        <w:tblpPr w:leftFromText="180" w:rightFromText="180" w:vertAnchor="text" w:horzAnchor="page" w:tblpX="1671" w:tblpY="208"/>
        <w:tblOverlap w:val="never"/>
        <w:tblW w:w="13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140"/>
        <w:gridCol w:w="5242"/>
        <w:gridCol w:w="900"/>
        <w:gridCol w:w="2355"/>
        <w:gridCol w:w="2355"/>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8" w:hRule="atLeast"/>
        </w:trPr>
        <w:tc>
          <w:tcPr>
            <w:tcW w:w="468"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2</w:t>
            </w:r>
          </w:p>
        </w:tc>
        <w:tc>
          <w:tcPr>
            <w:tcW w:w="1140"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社会救助和社会服务领域</w:t>
            </w:r>
          </w:p>
        </w:tc>
        <w:tc>
          <w:tcPr>
            <w:tcW w:w="5242"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及时向社会公开国家及自治区、中卫市、沙坡头区出台的社会救助和社会福利相关政策措施，重点公开城乡低保、特困人员救助供养、受灾人员救助、教育救助、医疗救助、住房救助、就业援助、临时救助、老年人福利、残疾人福利、儿童福利、计划生育特殊困难家庭扶助等信息，全面公开救助对象认定、保障标准、福利补贴申领及申请审批程序等相关政策，有针对性地公开救助款物的管理使用、福利补贴发放等情况。公开投诉举报方式，便于群众申报、查询、监督。公开方式方法要因地制宜、因事制宜，既确保公开实效、维护底线公平，又保护好相关人员个人隐私。</w:t>
            </w:r>
          </w:p>
        </w:tc>
        <w:tc>
          <w:tcPr>
            <w:tcW w:w="900" w:type="dxa"/>
            <w:vMerge w:val="restart"/>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实时公开</w:t>
            </w:r>
          </w:p>
        </w:tc>
        <w:tc>
          <w:tcPr>
            <w:tcW w:w="2355" w:type="dxa"/>
            <w:vMerge w:val="restart"/>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沙坡头区政府门户网站，“宁夏政务服务网”网上大厅等政务服务平台，政府公报、政务新媒体、政府新闻发布会、广播电视、报纸杂志、公示栏、宣传册等平台和办事大厅、便民服务窗口等场所，以及主流新闻媒体、新闻网站等</w:t>
            </w:r>
          </w:p>
        </w:tc>
        <w:tc>
          <w:tcPr>
            <w:tcW w:w="2355"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区民政和社会保障局、教育局、住房城乡建设和交通局、卫生健康局、应急管理局、医疗保障局，各乡镇人民政府</w:t>
            </w:r>
          </w:p>
        </w:tc>
        <w:tc>
          <w:tcPr>
            <w:tcW w:w="1388" w:type="dxa"/>
            <w:vMerge w:val="restart"/>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社会公众、新闻媒体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4" w:hRule="atLeast"/>
        </w:trPr>
        <w:tc>
          <w:tcPr>
            <w:tcW w:w="468"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3</w:t>
            </w:r>
          </w:p>
        </w:tc>
        <w:tc>
          <w:tcPr>
            <w:tcW w:w="1140"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教育</w:t>
            </w:r>
          </w:p>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领域</w:t>
            </w:r>
          </w:p>
        </w:tc>
        <w:tc>
          <w:tcPr>
            <w:tcW w:w="5242"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围绕义务教育、学前教育、特殊教育等关系人民群众切身利益的事项，重点公开相关政策、发展规划、考试招生、困难学生资助实施情况等信息。做好农村义务教育学生营养改善计划政策及相应情况、义务教育控辍保学、县域义务教育优质均衡发展等工作进展情况的公开。</w:t>
            </w:r>
          </w:p>
        </w:tc>
        <w:tc>
          <w:tcPr>
            <w:tcW w:w="900" w:type="dxa"/>
            <w:vMerge w:val="continue"/>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tc>
        <w:tc>
          <w:tcPr>
            <w:tcW w:w="2355" w:type="dxa"/>
            <w:vMerge w:val="continue"/>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tc>
        <w:tc>
          <w:tcPr>
            <w:tcW w:w="2355"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区教育局，各乡镇人民政府</w:t>
            </w:r>
          </w:p>
        </w:tc>
        <w:tc>
          <w:tcPr>
            <w:tcW w:w="1388" w:type="dxa"/>
            <w:vMerge w:val="continue"/>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tc>
      </w:tr>
    </w:tbl>
    <w:p>
      <w:pPr>
        <w:jc w:val="left"/>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pPr>
    </w:p>
    <w:tbl>
      <w:tblPr>
        <w:tblStyle w:val="7"/>
        <w:tblpPr w:leftFromText="180" w:rightFromText="180" w:vertAnchor="text" w:horzAnchor="page" w:tblpXSpec="center" w:tblpY="188"/>
        <w:tblOverlap w:val="never"/>
        <w:tblW w:w="13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140"/>
        <w:gridCol w:w="5290"/>
        <w:gridCol w:w="915"/>
        <w:gridCol w:w="2385"/>
        <w:gridCol w:w="2325"/>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2" w:hRule="atLeast"/>
          <w:jc w:val="center"/>
        </w:trPr>
        <w:tc>
          <w:tcPr>
            <w:tcW w:w="478"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4</w:t>
            </w:r>
          </w:p>
        </w:tc>
        <w:tc>
          <w:tcPr>
            <w:tcW w:w="1140"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基本医疗卫生领域</w:t>
            </w:r>
          </w:p>
        </w:tc>
        <w:tc>
          <w:tcPr>
            <w:tcW w:w="5290"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保障好人民群众对公共医疗卫生的知情权，全面公开分级诊疗、现代医院管理、全民医疗保障、药品供应保障、综合监管等深化医药卫生体制改革制度建设的政策、进展等相关信息。重点公开重大疾病预防控制、国家免疫规划、突发公共卫生事件、传染病疫情及防控等信息。公开职业病分类、目录以及职业病防治监督管理工作有关信息。针对妇女、未成年人、老年人等重点人群和农村、工矿企业等重点区域，大力开展专项健康科普，用现代医学知识为人民群众提供健康服务。进一步做好疾病应急救助政策落实情况公开工作，督促医院结算窗口公示“一站式”即时结报、先诊疗后付费等政策。公开实行政府指导价管理的常规医疗服务价格信息。及时公开食品药品有关标准、许可、抽检、处罚、召回等监管信息，发布消费警示，开展科普宣传。完善推广企业“黑名单”制度，让违法者寸步难行，让人民群众吃的放心。提高信息化技术在卫生监督中的应用，为及时预警和有针对性地采取措施、加快建设环境友好型社会提供依据。</w:t>
            </w:r>
          </w:p>
        </w:tc>
        <w:tc>
          <w:tcPr>
            <w:tcW w:w="915" w:type="dxa"/>
            <w:vMerge w:val="restart"/>
            <w:vAlign w:val="center"/>
          </w:tcPr>
          <w:p>
            <w:pPr>
              <w:jc w:val="center"/>
              <w:rPr>
                <w:rFonts w:hint="default" w:ascii="Times New Roman" w:hAnsi="Times New Roman" w:cs="Times New Roman"/>
                <w:color w:val="000000" w:themeColor="text1"/>
                <w:sz w:val="28"/>
                <w:szCs w:val="36"/>
                <w:lang w:val="en-US" w:eastAsia="zh-CN"/>
                <w14:textFill>
                  <w14:solidFill>
                    <w14:schemeClr w14:val="tx1"/>
                  </w14:solidFill>
                </w14:textFill>
              </w:rPr>
            </w:pPr>
          </w:p>
          <w:p>
            <w:pPr>
              <w:jc w:val="center"/>
              <w:rPr>
                <w:rFonts w:hint="default" w:ascii="Times New Roman" w:hAnsi="Times New Roman" w:cs="Times New Roman"/>
                <w:color w:val="000000" w:themeColor="text1"/>
                <w:sz w:val="28"/>
                <w:szCs w:val="36"/>
                <w:lang w:val="en-US" w:eastAsia="zh-CN"/>
                <w14:textFill>
                  <w14:solidFill>
                    <w14:schemeClr w14:val="tx1"/>
                  </w14:solidFill>
                </w14:textFill>
              </w:rPr>
            </w:pPr>
          </w:p>
          <w:p>
            <w:pPr>
              <w:jc w:val="center"/>
              <w:rPr>
                <w:rFonts w:hint="default" w:ascii="Times New Roman" w:hAnsi="Times New Roman" w:cs="Times New Roman"/>
                <w:color w:val="000000" w:themeColor="text1"/>
                <w:sz w:val="28"/>
                <w:szCs w:val="36"/>
                <w:lang w:val="en-US" w:eastAsia="zh-CN"/>
                <w14:textFill>
                  <w14:solidFill>
                    <w14:schemeClr w14:val="tx1"/>
                  </w14:solidFill>
                </w14:textFill>
              </w:rPr>
            </w:pPr>
          </w:p>
          <w:p>
            <w:pPr>
              <w:jc w:val="center"/>
              <w:rPr>
                <w:rFonts w:hint="default" w:ascii="Times New Roman" w:hAnsi="Times New Roman" w:cs="Times New Roman"/>
                <w:color w:val="000000" w:themeColor="text1"/>
                <w:sz w:val="28"/>
                <w:szCs w:val="36"/>
                <w:lang w:val="en-US" w:eastAsia="zh-CN"/>
                <w14:textFill>
                  <w14:solidFill>
                    <w14:schemeClr w14:val="tx1"/>
                  </w14:solidFill>
                </w14:textFill>
              </w:rPr>
            </w:pPr>
          </w:p>
          <w:p>
            <w:pPr>
              <w:jc w:val="center"/>
              <w:rPr>
                <w:rFonts w:hint="default" w:ascii="Times New Roman" w:hAnsi="Times New Roman" w:cs="Times New Roman"/>
                <w:color w:val="000000" w:themeColor="text1"/>
                <w:sz w:val="28"/>
                <w:szCs w:val="36"/>
                <w:lang w:val="en-US" w:eastAsia="zh-CN"/>
                <w14:textFill>
                  <w14:solidFill>
                    <w14:schemeClr w14:val="tx1"/>
                  </w14:solidFill>
                </w14:textFill>
              </w:rPr>
            </w:pPr>
          </w:p>
          <w:p>
            <w:pPr>
              <w:jc w:val="center"/>
              <w:rPr>
                <w:rFonts w:hint="default" w:ascii="Times New Roman" w:hAnsi="Times New Roman" w:cs="Times New Roman"/>
                <w:color w:val="000000" w:themeColor="text1"/>
                <w:sz w:val="28"/>
                <w:szCs w:val="36"/>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实时公开</w:t>
            </w:r>
          </w:p>
          <w:p>
            <w:pPr>
              <w:pStyle w:val="3"/>
              <w:rPr>
                <w:rFonts w:hint="default" w:ascii="Times New Roman" w:hAnsi="Times New Roman" w:cs="Times New Roman"/>
                <w:color w:val="000000" w:themeColor="text1"/>
                <w:sz w:val="22"/>
                <w:szCs w:val="36"/>
                <w:lang w:val="en-US" w:eastAsia="zh-CN"/>
                <w14:textFill>
                  <w14:solidFill>
                    <w14:schemeClr w14:val="tx1"/>
                  </w14:solidFill>
                </w14:textFill>
              </w:rPr>
            </w:pPr>
          </w:p>
          <w:p>
            <w:pPr>
              <w:pStyle w:val="3"/>
              <w:rPr>
                <w:rFonts w:hint="default" w:ascii="Times New Roman" w:hAnsi="Times New Roman" w:cs="Times New Roman"/>
                <w:color w:val="000000" w:themeColor="text1"/>
                <w:sz w:val="22"/>
                <w:szCs w:val="36"/>
                <w:lang w:val="en-US" w:eastAsia="zh-CN"/>
                <w14:textFill>
                  <w14:solidFill>
                    <w14:schemeClr w14:val="tx1"/>
                  </w14:solidFill>
                </w14:textFill>
              </w:rPr>
            </w:pPr>
          </w:p>
          <w:p>
            <w:pPr>
              <w:rPr>
                <w:rFonts w:hint="default" w:ascii="Times New Roman" w:hAnsi="Times New Roman" w:cs="Times New Roman"/>
                <w:color w:val="000000" w:themeColor="text1"/>
                <w:sz w:val="28"/>
                <w:szCs w:val="36"/>
                <w:lang w:val="en-US" w:eastAsia="zh-CN"/>
                <w14:textFill>
                  <w14:solidFill>
                    <w14:schemeClr w14:val="tx1"/>
                  </w14:solidFill>
                </w14:textFill>
              </w:rPr>
            </w:pPr>
          </w:p>
          <w:p>
            <w:pPr>
              <w:pStyle w:val="3"/>
              <w:rPr>
                <w:rFonts w:hint="default" w:ascii="Times New Roman" w:hAnsi="Times New Roman" w:cs="Times New Roman"/>
                <w:color w:val="000000" w:themeColor="text1"/>
                <w:sz w:val="22"/>
                <w:szCs w:val="36"/>
                <w:lang w:val="en-US" w:eastAsia="zh-CN"/>
                <w14:textFill>
                  <w14:solidFill>
                    <w14:schemeClr w14:val="tx1"/>
                  </w14:solidFill>
                </w14:textFill>
              </w:rPr>
            </w:pPr>
          </w:p>
          <w:p>
            <w:pPr>
              <w:rPr>
                <w:rFonts w:hint="default" w:ascii="Times New Roman" w:hAnsi="Times New Roman" w:cs="Times New Roman"/>
                <w:color w:val="000000" w:themeColor="text1"/>
                <w:sz w:val="28"/>
                <w:szCs w:val="36"/>
                <w:lang w:val="en-US" w:eastAsia="zh-CN"/>
                <w14:textFill>
                  <w14:solidFill>
                    <w14:schemeClr w14:val="tx1"/>
                  </w14:solidFill>
                </w14:textFill>
              </w:rPr>
            </w:pPr>
          </w:p>
          <w:p>
            <w:pPr>
              <w:pStyle w:val="3"/>
              <w:rPr>
                <w:rFonts w:hint="default" w:ascii="Times New Roman" w:hAnsi="Times New Roman" w:cs="Times New Roman"/>
                <w:color w:val="000000" w:themeColor="text1"/>
                <w:sz w:val="22"/>
                <w:szCs w:val="36"/>
                <w:lang w:val="en-US" w:eastAsia="zh-CN"/>
                <w14:textFill>
                  <w14:solidFill>
                    <w14:schemeClr w14:val="tx1"/>
                  </w14:solidFill>
                </w14:textFill>
              </w:rPr>
            </w:pPr>
          </w:p>
          <w:p>
            <w:pPr>
              <w:rPr>
                <w:rFonts w:hint="default" w:ascii="Times New Roman" w:hAnsi="Times New Roman" w:cs="Times New Roman"/>
                <w:color w:val="000000" w:themeColor="text1"/>
                <w:sz w:val="28"/>
                <w:szCs w:val="36"/>
                <w:lang w:val="en-US" w:eastAsia="zh-CN"/>
                <w14:textFill>
                  <w14:solidFill>
                    <w14:schemeClr w14:val="tx1"/>
                  </w14:solidFill>
                </w14:textFill>
              </w:rPr>
            </w:pPr>
          </w:p>
          <w:p>
            <w:pPr>
              <w:pStyle w:val="3"/>
              <w:rPr>
                <w:rFonts w:hint="default" w:ascii="Times New Roman" w:hAnsi="Times New Roman" w:cs="Times New Roman"/>
                <w:color w:val="000000" w:themeColor="text1"/>
                <w:sz w:val="22"/>
                <w:szCs w:val="36"/>
                <w:lang w:val="en-US" w:eastAsia="zh-CN"/>
                <w14:textFill>
                  <w14:solidFill>
                    <w14:schemeClr w14:val="tx1"/>
                  </w14:solidFill>
                </w14:textFill>
              </w:rPr>
            </w:pPr>
          </w:p>
          <w:p>
            <w:pPr>
              <w:rPr>
                <w:rFonts w:hint="default" w:ascii="Times New Roman" w:hAnsi="Times New Roman" w:cs="Times New Roman"/>
                <w:color w:val="000000" w:themeColor="text1"/>
                <w:sz w:val="28"/>
                <w:szCs w:val="36"/>
                <w:lang w:val="en-US" w:eastAsia="zh-CN"/>
                <w14:textFill>
                  <w14:solidFill>
                    <w14:schemeClr w14:val="tx1"/>
                  </w14:solidFill>
                </w14:textFill>
              </w:rPr>
            </w:pPr>
          </w:p>
          <w:p>
            <w:pPr>
              <w:pStyle w:val="3"/>
              <w:rPr>
                <w:rFonts w:hint="default" w:ascii="Times New Roman" w:hAnsi="Times New Roman" w:cs="Times New Roman"/>
                <w:color w:val="000000" w:themeColor="text1"/>
                <w:sz w:val="22"/>
                <w:szCs w:val="36"/>
                <w:lang w:val="en-US" w:eastAsia="zh-CN"/>
                <w14:textFill>
                  <w14:solidFill>
                    <w14:schemeClr w14:val="tx1"/>
                  </w14:solidFill>
                </w14:textFill>
              </w:rPr>
            </w:pPr>
          </w:p>
          <w:p>
            <w:pPr>
              <w:rPr>
                <w:rFonts w:hint="default" w:ascii="Times New Roman" w:hAnsi="Times New Roman" w:cs="Times New Roman"/>
                <w:color w:val="000000" w:themeColor="text1"/>
                <w:sz w:val="28"/>
                <w:szCs w:val="36"/>
                <w:lang w:val="en-US" w:eastAsia="zh-CN"/>
                <w14:textFill>
                  <w14:solidFill>
                    <w14:schemeClr w14:val="tx1"/>
                  </w14:solidFill>
                </w14:textFill>
              </w:rPr>
            </w:pPr>
          </w:p>
          <w:p>
            <w:pPr>
              <w:pStyle w:val="3"/>
              <w:rPr>
                <w:rFonts w:hint="default" w:ascii="Times New Roman" w:hAnsi="Times New Roman" w:cs="Times New Roman"/>
                <w:color w:val="000000" w:themeColor="text1"/>
                <w:sz w:val="22"/>
                <w:szCs w:val="36"/>
                <w:lang w:val="en-US" w:eastAsia="zh-CN"/>
                <w14:textFill>
                  <w14:solidFill>
                    <w14:schemeClr w14:val="tx1"/>
                  </w14:solidFill>
                </w14:textFill>
              </w:rPr>
            </w:pPr>
          </w:p>
          <w:p>
            <w:pPr>
              <w:rPr>
                <w:rFonts w:hint="default" w:ascii="Times New Roman" w:hAnsi="Times New Roman" w:cs="Times New Roman"/>
                <w:color w:val="000000" w:themeColor="text1"/>
                <w:sz w:val="28"/>
                <w:szCs w:val="36"/>
                <w:lang w:val="en-US" w:eastAsia="zh-CN"/>
                <w14:textFill>
                  <w14:solidFill>
                    <w14:schemeClr w14:val="tx1"/>
                  </w14:solidFill>
                </w14:textFill>
              </w:rPr>
            </w:pPr>
          </w:p>
          <w:p>
            <w:pPr>
              <w:pStyle w:val="3"/>
              <w:rPr>
                <w:rFonts w:hint="default" w:ascii="Times New Roman" w:hAnsi="Times New Roman" w:cs="Times New Roman"/>
                <w:color w:val="000000" w:themeColor="text1"/>
                <w:sz w:val="22"/>
                <w:szCs w:val="36"/>
                <w:lang w:val="en-US" w:eastAsia="zh-CN"/>
                <w14:textFill>
                  <w14:solidFill>
                    <w14:schemeClr w14:val="tx1"/>
                  </w14:solidFill>
                </w14:textFill>
              </w:rPr>
            </w:pPr>
          </w:p>
          <w:p>
            <w:pPr>
              <w:rPr>
                <w:rFonts w:hint="default" w:ascii="Times New Roman" w:hAnsi="Times New Roman" w:cs="Times New Roman"/>
                <w:color w:val="000000" w:themeColor="text1"/>
                <w:sz w:val="28"/>
                <w:szCs w:val="36"/>
                <w:lang w:val="en-US" w:eastAsia="zh-CN"/>
                <w14:textFill>
                  <w14:solidFill>
                    <w14:schemeClr w14:val="tx1"/>
                  </w14:solidFill>
                </w14:textFill>
              </w:rPr>
            </w:pPr>
          </w:p>
          <w:p>
            <w:pPr>
              <w:pStyle w:val="3"/>
              <w:rPr>
                <w:rFonts w:hint="default" w:ascii="Times New Roman" w:hAnsi="Times New Roman" w:cs="Times New Roman"/>
                <w:color w:val="000000" w:themeColor="text1"/>
                <w:sz w:val="22"/>
                <w:szCs w:val="36"/>
                <w:lang w:val="en-US" w:eastAsia="zh-CN"/>
                <w14:textFill>
                  <w14:solidFill>
                    <w14:schemeClr w14:val="tx1"/>
                  </w14:solidFill>
                </w14:textFill>
              </w:rPr>
            </w:pPr>
          </w:p>
          <w:p>
            <w:pPr>
              <w:pStyle w:val="3"/>
              <w:jc w:val="center"/>
              <w:rPr>
                <w:rFonts w:hint="default" w:ascii="Times New Roman" w:hAnsi="Times New Roman" w:cs="Times New Roman"/>
                <w:color w:val="000000" w:themeColor="text1"/>
                <w:sz w:val="22"/>
                <w:szCs w:val="36"/>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实时公开</w:t>
            </w:r>
          </w:p>
        </w:tc>
        <w:tc>
          <w:tcPr>
            <w:tcW w:w="2385" w:type="dxa"/>
            <w:vMerge w:val="restart"/>
            <w:vAlign w:val="center"/>
          </w:tcPr>
          <w:p>
            <w:pPr>
              <w:jc w:val="left"/>
              <w:rPr>
                <w:rFonts w:hint="default" w:ascii="Times New Roman" w:hAnsi="Times New Roman" w:cs="Times New Roman"/>
                <w:color w:val="000000" w:themeColor="text1"/>
                <w:sz w:val="28"/>
                <w:szCs w:val="36"/>
                <w:lang w:val="en-US" w:eastAsia="zh-CN"/>
                <w14:textFill>
                  <w14:solidFill>
                    <w14:schemeClr w14:val="tx1"/>
                  </w14:solidFill>
                </w14:textFill>
              </w:rPr>
            </w:pPr>
          </w:p>
          <w:p>
            <w:pPr>
              <w:jc w:val="left"/>
              <w:rPr>
                <w:rFonts w:hint="default" w:ascii="Times New Roman" w:hAnsi="Times New Roman" w:cs="Times New Roman"/>
                <w:color w:val="000000" w:themeColor="text1"/>
                <w:sz w:val="28"/>
                <w:szCs w:val="36"/>
                <w:lang w:val="en-US" w:eastAsia="zh-CN"/>
                <w14:textFill>
                  <w14:solidFill>
                    <w14:schemeClr w14:val="tx1"/>
                  </w14:solidFill>
                </w14:textFill>
              </w:rPr>
            </w:pPr>
          </w:p>
          <w:p>
            <w:pPr>
              <w:jc w:val="left"/>
              <w:rPr>
                <w:rFonts w:hint="default" w:ascii="Times New Roman" w:hAnsi="Times New Roman" w:cs="Times New Roman"/>
                <w:color w:val="000000" w:themeColor="text1"/>
                <w:sz w:val="28"/>
                <w:szCs w:val="36"/>
                <w:lang w:val="en-US" w:eastAsia="zh-CN"/>
                <w14:textFill>
                  <w14:solidFill>
                    <w14:schemeClr w14:val="tx1"/>
                  </w14:solidFill>
                </w14:textFill>
              </w:rPr>
            </w:pPr>
          </w:p>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沙坡头区政府门户网站，“宁夏政务服务网”网上大厅等政务服务平台，政府公报、政务新媒体、政府新闻发布会、广播电视、报纸杂志、公示栏、宣传册等平台和办事大厅、便民服务窗口等场所，以及主流新闻媒体、新闻网站等</w:t>
            </w:r>
          </w:p>
          <w:p>
            <w:pPr>
              <w:pStyle w:val="3"/>
              <w:rPr>
                <w:rFonts w:hint="default" w:ascii="Times New Roman" w:hAnsi="Times New Roman" w:cs="Times New Roman"/>
                <w:color w:val="000000" w:themeColor="text1"/>
                <w:sz w:val="22"/>
                <w:szCs w:val="36"/>
                <w:lang w:val="en-US" w:eastAsia="zh-CN"/>
                <w14:textFill>
                  <w14:solidFill>
                    <w14:schemeClr w14:val="tx1"/>
                  </w14:solidFill>
                </w14:textFill>
              </w:rPr>
            </w:pPr>
          </w:p>
          <w:p>
            <w:pPr>
              <w:rPr>
                <w:rFonts w:hint="default" w:ascii="Times New Roman" w:hAnsi="Times New Roman" w:cs="Times New Roman"/>
                <w:color w:val="000000" w:themeColor="text1"/>
                <w:sz w:val="28"/>
                <w:szCs w:val="36"/>
                <w:lang w:val="en-US" w:eastAsia="zh-CN"/>
                <w14:textFill>
                  <w14:solidFill>
                    <w14:schemeClr w14:val="tx1"/>
                  </w14:solidFill>
                </w14:textFill>
              </w:rPr>
            </w:pPr>
          </w:p>
          <w:p>
            <w:pPr>
              <w:pStyle w:val="3"/>
              <w:rPr>
                <w:rFonts w:hint="default" w:ascii="Times New Roman" w:hAnsi="Times New Roman" w:cs="Times New Roman"/>
                <w:color w:val="000000" w:themeColor="text1"/>
                <w:sz w:val="22"/>
                <w:szCs w:val="36"/>
                <w:lang w:val="en-US" w:eastAsia="zh-CN"/>
                <w14:textFill>
                  <w14:solidFill>
                    <w14:schemeClr w14:val="tx1"/>
                  </w14:solidFill>
                </w14:textFill>
              </w:rPr>
            </w:pPr>
          </w:p>
          <w:p>
            <w:pPr>
              <w:rPr>
                <w:rFonts w:hint="default" w:ascii="Times New Roman" w:hAnsi="Times New Roman" w:cs="Times New Roman"/>
                <w:color w:val="000000" w:themeColor="text1"/>
                <w:sz w:val="28"/>
                <w:szCs w:val="36"/>
                <w:lang w:val="en-US" w:eastAsia="zh-CN"/>
                <w14:textFill>
                  <w14:solidFill>
                    <w14:schemeClr w14:val="tx1"/>
                  </w14:solidFill>
                </w14:textFill>
              </w:rPr>
            </w:pPr>
          </w:p>
          <w:p>
            <w:pPr>
              <w:pStyle w:val="3"/>
              <w:rPr>
                <w:rFonts w:hint="default" w:ascii="Times New Roman" w:hAnsi="Times New Roman" w:cs="Times New Roman"/>
                <w:color w:val="000000" w:themeColor="text1"/>
                <w:sz w:val="22"/>
                <w:szCs w:val="36"/>
                <w:lang w:val="en-US" w:eastAsia="zh-CN"/>
                <w14:textFill>
                  <w14:solidFill>
                    <w14:schemeClr w14:val="tx1"/>
                  </w14:solidFill>
                </w14:textFill>
              </w:rPr>
            </w:pPr>
          </w:p>
          <w:p>
            <w:pPr>
              <w:pStyle w:val="3"/>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p>
            <w:pPr>
              <w:pStyle w:val="3"/>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p>
            <w:pPr>
              <w:pStyle w:val="3"/>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p>
            <w:pPr>
              <w:pStyle w:val="3"/>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p>
            <w:pPr>
              <w:pStyle w:val="3"/>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p>
            <w:pPr>
              <w:pStyle w:val="3"/>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p>
            <w:pPr>
              <w:pStyle w:val="3"/>
              <w:rPr>
                <w:rFonts w:hint="default" w:ascii="Times New Roman" w:hAnsi="Times New Roman" w:cs="Times New Roman"/>
                <w:color w:val="000000" w:themeColor="text1"/>
                <w:sz w:val="22"/>
                <w:szCs w:val="36"/>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沙坡头区政府门户网站，“宁夏政务服务网”网上大厅等政务服务平台，政府公报、政务新媒体、政府新闻发布会、广播电视、报纸杂志、公示栏、宣传册等平台和办事大厅、便民服务窗口等场所，以及主流新闻媒体、新闻网站等</w:t>
            </w:r>
          </w:p>
        </w:tc>
        <w:tc>
          <w:tcPr>
            <w:tcW w:w="2325" w:type="dxa"/>
            <w:vAlign w:val="center"/>
          </w:tcPr>
          <w:p>
            <w:pPr>
              <w:jc w:val="left"/>
              <w:rPr>
                <w:rFonts w:hint="default" w:ascii="Times New Roman" w:hAnsi="Times New Roman" w:eastAsia="仿宋_GB2312" w:cs="Times New Roman"/>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区卫生健康局、医疗保障局，各乡镇人民政府</w:t>
            </w:r>
          </w:p>
        </w:tc>
        <w:tc>
          <w:tcPr>
            <w:tcW w:w="1327" w:type="dxa"/>
            <w:vMerge w:val="restart"/>
            <w:vAlign w:val="center"/>
          </w:tcPr>
          <w:p>
            <w:pPr>
              <w:jc w:val="left"/>
              <w:rPr>
                <w:rFonts w:hint="default" w:ascii="Times New Roman" w:hAnsi="Times New Roman" w:eastAsia="仿宋_GB2312" w:cs="Times New Roman"/>
                <w:color w:val="000000" w:themeColor="text1"/>
                <w:kern w:val="2"/>
                <w:sz w:val="28"/>
                <w:szCs w:val="28"/>
                <w:vertAlign w:val="baseline"/>
                <w:lang w:val="en-US" w:eastAsia="zh-CN" w:bidi="ar-SA"/>
                <w14:textFill>
                  <w14:solidFill>
                    <w14:schemeClr w14:val="tx1"/>
                  </w14:solidFill>
                </w14:textFill>
              </w:rPr>
            </w:pPr>
          </w:p>
          <w:p>
            <w:pPr>
              <w:jc w:val="left"/>
              <w:rPr>
                <w:rFonts w:hint="default" w:ascii="Times New Roman" w:hAnsi="Times New Roman" w:eastAsia="仿宋_GB2312" w:cs="Times New Roman"/>
                <w:color w:val="000000" w:themeColor="text1"/>
                <w:kern w:val="2"/>
                <w:sz w:val="28"/>
                <w:szCs w:val="28"/>
                <w:vertAlign w:val="baseline"/>
                <w:lang w:val="en-US" w:eastAsia="zh-CN" w:bidi="ar-SA"/>
                <w14:textFill>
                  <w14:solidFill>
                    <w14:schemeClr w14:val="tx1"/>
                  </w14:solidFill>
                </w14:textFill>
              </w:rPr>
            </w:pPr>
          </w:p>
          <w:p>
            <w:pPr>
              <w:jc w:val="left"/>
              <w:rPr>
                <w:rFonts w:hint="default" w:ascii="Times New Roman" w:hAnsi="Times New Roman" w:eastAsia="仿宋_GB2312" w:cs="Times New Roman"/>
                <w:color w:val="000000" w:themeColor="text1"/>
                <w:kern w:val="2"/>
                <w:sz w:val="28"/>
                <w:szCs w:val="28"/>
                <w:vertAlign w:val="baseline"/>
                <w:lang w:val="en-US" w:eastAsia="zh-CN" w:bidi="ar-SA"/>
                <w14:textFill>
                  <w14:solidFill>
                    <w14:schemeClr w14:val="tx1"/>
                  </w14:solidFill>
                </w14:textFill>
              </w:rPr>
            </w:pPr>
          </w:p>
          <w:p>
            <w:pPr>
              <w:jc w:val="left"/>
              <w:rPr>
                <w:rFonts w:hint="default" w:ascii="Times New Roman" w:hAnsi="Times New Roman" w:eastAsia="仿宋_GB2312" w:cs="Times New Roman"/>
                <w:color w:val="000000" w:themeColor="text1"/>
                <w:kern w:val="2"/>
                <w:sz w:val="28"/>
                <w:szCs w:val="28"/>
                <w:vertAlign w:val="baseline"/>
                <w:lang w:val="en-US" w:eastAsia="zh-CN" w:bidi="ar-SA"/>
                <w14:textFill>
                  <w14:solidFill>
                    <w14:schemeClr w14:val="tx1"/>
                  </w14:solidFill>
                </w14:textFill>
              </w:rPr>
            </w:pPr>
          </w:p>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社会公众、新闻媒体</w:t>
            </w:r>
          </w:p>
          <w:p>
            <w:pPr>
              <w:jc w:val="left"/>
              <w:rPr>
                <w:rFonts w:hint="default" w:ascii="Times New Roman" w:hAnsi="Times New Roman" w:eastAsia="仿宋_GB2312" w:cs="Times New Roman"/>
                <w:color w:val="000000" w:themeColor="text1"/>
                <w:kern w:val="2"/>
                <w:sz w:val="28"/>
                <w:szCs w:val="28"/>
                <w:vertAlign w:val="baseline"/>
                <w:lang w:val="en-US" w:eastAsia="zh-CN" w:bidi="ar-SA"/>
                <w14:textFill>
                  <w14:solidFill>
                    <w14:schemeClr w14:val="tx1"/>
                  </w14:solidFill>
                </w14:textFill>
              </w:rPr>
            </w:pPr>
          </w:p>
          <w:p>
            <w:pPr>
              <w:jc w:val="left"/>
              <w:rPr>
                <w:rFonts w:hint="default" w:ascii="Times New Roman" w:hAnsi="Times New Roman" w:eastAsia="仿宋_GB2312" w:cs="Times New Roman"/>
                <w:color w:val="000000" w:themeColor="text1"/>
                <w:kern w:val="2"/>
                <w:sz w:val="28"/>
                <w:szCs w:val="28"/>
                <w:vertAlign w:val="baseline"/>
                <w:lang w:val="en-US" w:eastAsia="zh-CN" w:bidi="ar-SA"/>
                <w14:textFill>
                  <w14:solidFill>
                    <w14:schemeClr w14:val="tx1"/>
                  </w14:solidFill>
                </w14:textFill>
              </w:rPr>
            </w:pPr>
          </w:p>
          <w:p>
            <w:pPr>
              <w:jc w:val="left"/>
              <w:rPr>
                <w:rFonts w:hint="default" w:ascii="Times New Roman" w:hAnsi="Times New Roman" w:eastAsia="仿宋_GB2312" w:cs="Times New Roman"/>
                <w:color w:val="000000" w:themeColor="text1"/>
                <w:kern w:val="2"/>
                <w:sz w:val="28"/>
                <w:szCs w:val="28"/>
                <w:vertAlign w:val="baseline"/>
                <w:lang w:val="en-US" w:eastAsia="zh-CN" w:bidi="ar-SA"/>
                <w14:textFill>
                  <w14:solidFill>
                    <w14:schemeClr w14:val="tx1"/>
                  </w14:solidFill>
                </w14:textFill>
              </w:rPr>
            </w:pPr>
          </w:p>
          <w:p>
            <w:pPr>
              <w:jc w:val="left"/>
              <w:rPr>
                <w:rFonts w:hint="default" w:ascii="Times New Roman" w:hAnsi="Times New Roman" w:eastAsia="仿宋_GB2312" w:cs="Times New Roman"/>
                <w:color w:val="000000" w:themeColor="text1"/>
                <w:kern w:val="2"/>
                <w:sz w:val="28"/>
                <w:szCs w:val="28"/>
                <w:vertAlign w:val="baseline"/>
                <w:lang w:val="en-US" w:eastAsia="zh-CN" w:bidi="ar-SA"/>
                <w14:textFill>
                  <w14:solidFill>
                    <w14:schemeClr w14:val="tx1"/>
                  </w14:solidFill>
                </w14:textFill>
              </w:rPr>
            </w:pPr>
          </w:p>
          <w:p>
            <w:pPr>
              <w:jc w:val="left"/>
              <w:rPr>
                <w:rFonts w:hint="default" w:ascii="Times New Roman" w:hAnsi="Times New Roman" w:eastAsia="仿宋_GB2312" w:cs="Times New Roman"/>
                <w:color w:val="000000" w:themeColor="text1"/>
                <w:kern w:val="2"/>
                <w:sz w:val="28"/>
                <w:szCs w:val="28"/>
                <w:vertAlign w:val="baseline"/>
                <w:lang w:val="en-US" w:eastAsia="zh-CN" w:bidi="ar-SA"/>
                <w14:textFill>
                  <w14:solidFill>
                    <w14:schemeClr w14:val="tx1"/>
                  </w14:solidFill>
                </w14:textFill>
              </w:rPr>
            </w:pPr>
          </w:p>
          <w:p>
            <w:pPr>
              <w:jc w:val="left"/>
              <w:rPr>
                <w:rFonts w:hint="default" w:ascii="Times New Roman" w:hAnsi="Times New Roman" w:eastAsia="仿宋_GB2312" w:cs="Times New Roman"/>
                <w:color w:val="000000" w:themeColor="text1"/>
                <w:kern w:val="2"/>
                <w:sz w:val="28"/>
                <w:szCs w:val="28"/>
                <w:vertAlign w:val="baseline"/>
                <w:lang w:val="en-US" w:eastAsia="zh-CN" w:bidi="ar-SA"/>
                <w14:textFill>
                  <w14:solidFill>
                    <w14:schemeClr w14:val="tx1"/>
                  </w14:solidFill>
                </w14:textFill>
              </w:rPr>
            </w:pPr>
          </w:p>
          <w:p>
            <w:pPr>
              <w:jc w:val="left"/>
              <w:rPr>
                <w:rFonts w:hint="default" w:ascii="Times New Roman" w:hAnsi="Times New Roman" w:eastAsia="仿宋_GB2312" w:cs="Times New Roman"/>
                <w:color w:val="000000" w:themeColor="text1"/>
                <w:kern w:val="2"/>
                <w:sz w:val="28"/>
                <w:szCs w:val="28"/>
                <w:vertAlign w:val="baseline"/>
                <w:lang w:val="en-US" w:eastAsia="zh-CN" w:bidi="ar-SA"/>
                <w14:textFill>
                  <w14:solidFill>
                    <w14:schemeClr w14:val="tx1"/>
                  </w14:solidFill>
                </w14:textFill>
              </w:rPr>
            </w:pPr>
          </w:p>
          <w:p>
            <w:pPr>
              <w:jc w:val="left"/>
              <w:rPr>
                <w:rFonts w:hint="default" w:ascii="Times New Roman" w:hAnsi="Times New Roman" w:eastAsia="仿宋_GB2312" w:cs="Times New Roman"/>
                <w:color w:val="000000" w:themeColor="text1"/>
                <w:kern w:val="2"/>
                <w:sz w:val="28"/>
                <w:szCs w:val="28"/>
                <w:vertAlign w:val="baseline"/>
                <w:lang w:val="en-US" w:eastAsia="zh-CN" w:bidi="ar-SA"/>
                <w14:textFill>
                  <w14:solidFill>
                    <w14:schemeClr w14:val="tx1"/>
                  </w14:solidFill>
                </w14:textFill>
              </w:rPr>
            </w:pPr>
          </w:p>
          <w:p>
            <w:pPr>
              <w:jc w:val="left"/>
              <w:rPr>
                <w:rFonts w:hint="default" w:ascii="Times New Roman" w:hAnsi="Times New Roman" w:eastAsia="仿宋_GB2312" w:cs="Times New Roman"/>
                <w:color w:val="000000" w:themeColor="text1"/>
                <w:kern w:val="2"/>
                <w:sz w:val="28"/>
                <w:szCs w:val="2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社会公众、新闻媒体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78" w:type="dxa"/>
            <w:vAlign w:val="center"/>
          </w:tcPr>
          <w:p>
            <w:pPr>
              <w:jc w:val="center"/>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t>5</w:t>
            </w:r>
          </w:p>
        </w:tc>
        <w:tc>
          <w:tcPr>
            <w:tcW w:w="1140" w:type="dxa"/>
            <w:vAlign w:val="center"/>
          </w:tcPr>
          <w:p>
            <w:pPr>
              <w:jc w:val="center"/>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生态环境保护领域</w:t>
            </w:r>
          </w:p>
        </w:tc>
        <w:tc>
          <w:tcPr>
            <w:tcW w:w="5290"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进一步做好社会广泛关注的大气污染防治、水污染防治、土壤污染管控和修复等信息公开工作。及时向社会发布空气质量预测预报信息、大范围重污染天气预警提示信息、每月公开沙坡头区环境空气质量排名、沙坡头区集中式生活饮用水水源池水质状况、按时公开重点污染源监督性监测结果和企业自行监测工作开展情况及监测结果。重点公开国家及自治区、中卫市、沙坡头区出台的环境污染防治和生态保护政策措施、实施效果，加强建设项目环境影响评价审批、环境保护执法监督、环境投诉处理等信息公开。及时发布重大环境污染和生态破坏事件的调查处置情况，正确引导社会舆论，积极回应社会关切。健全环保信息强制性披露制度。</w:t>
            </w:r>
          </w:p>
        </w:tc>
        <w:tc>
          <w:tcPr>
            <w:tcW w:w="915" w:type="dxa"/>
            <w:vMerge w:val="continue"/>
            <w:vAlign w:val="center"/>
          </w:tcPr>
          <w:p>
            <w:pPr>
              <w:jc w:val="center"/>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pPr>
          </w:p>
        </w:tc>
        <w:tc>
          <w:tcPr>
            <w:tcW w:w="2385" w:type="dxa"/>
            <w:vMerge w:val="continue"/>
            <w:vAlign w:val="center"/>
          </w:tcPr>
          <w:p>
            <w:pPr>
              <w:jc w:val="center"/>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pPr>
          </w:p>
        </w:tc>
        <w:tc>
          <w:tcPr>
            <w:tcW w:w="2325"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市生态环境分局、区住房城乡建设和交通局、水务局、卫生健康局、应急管理局，各乡镇人民政府</w:t>
            </w:r>
          </w:p>
        </w:tc>
        <w:tc>
          <w:tcPr>
            <w:tcW w:w="1327" w:type="dxa"/>
            <w:vMerge w:val="continue"/>
            <w:vAlign w:val="center"/>
          </w:tcPr>
          <w:p>
            <w:pPr>
              <w:jc w:val="center"/>
              <w:rPr>
                <w:rFonts w:hint="default" w:ascii="Times New Roman" w:hAnsi="Times New Roman" w:eastAsia="仿宋_GB2312" w:cs="Times New Roman"/>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1" w:hRule="atLeast"/>
          <w:jc w:val="center"/>
        </w:trPr>
        <w:tc>
          <w:tcPr>
            <w:tcW w:w="478" w:type="dxa"/>
            <w:vAlign w:val="center"/>
          </w:tcPr>
          <w:p>
            <w:pPr>
              <w:jc w:val="center"/>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t>6</w:t>
            </w:r>
          </w:p>
        </w:tc>
        <w:tc>
          <w:tcPr>
            <w:tcW w:w="1140"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灾害事故救援领域</w:t>
            </w:r>
          </w:p>
        </w:tc>
        <w:tc>
          <w:tcPr>
            <w:tcW w:w="5290"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及时准确发布自然灾害、重大事故灾难、公共卫生事件等突发事件的应急处置与救援、医疗救护与卫生防疫、次生灾害预警防范等工作情况及动态信息。建立救灾款物信息公开制度，及时发布灾害救助需求信息，推动做好救助款物和捐赠款物的来源、数量、种类及使用情况，救助对象及其接受救助款物数额，灾后恢复重建工作进展等信息的公开工作。</w:t>
            </w:r>
          </w:p>
        </w:tc>
        <w:tc>
          <w:tcPr>
            <w:tcW w:w="915"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实时公开</w:t>
            </w:r>
          </w:p>
        </w:tc>
        <w:tc>
          <w:tcPr>
            <w:tcW w:w="2385" w:type="dxa"/>
            <w:vMerge w:val="continue"/>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p>
        </w:tc>
        <w:tc>
          <w:tcPr>
            <w:tcW w:w="2325" w:type="dxa"/>
            <w:vAlign w:val="center"/>
          </w:tcPr>
          <w:p>
            <w:pPr>
              <w:pStyle w:val="3"/>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区应急管理局、卫生健康局、气象局，各乡镇人民政府</w:t>
            </w:r>
          </w:p>
        </w:tc>
        <w:tc>
          <w:tcPr>
            <w:tcW w:w="1327"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社会公众、新闻媒体</w:t>
            </w:r>
          </w:p>
        </w:tc>
      </w:tr>
    </w:tbl>
    <w:p>
      <w:pPr>
        <w:jc w:val="left"/>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pPr>
    </w:p>
    <w:tbl>
      <w:tblPr>
        <w:tblStyle w:val="7"/>
        <w:tblpPr w:leftFromText="180" w:rightFromText="180" w:vertAnchor="text" w:horzAnchor="page" w:tblpX="1591" w:tblpY="177"/>
        <w:tblOverlap w:val="never"/>
        <w:tblW w:w="13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724"/>
        <w:gridCol w:w="5168"/>
        <w:gridCol w:w="870"/>
        <w:gridCol w:w="2415"/>
        <w:gridCol w:w="232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0" w:hRule="atLeast"/>
        </w:trPr>
        <w:tc>
          <w:tcPr>
            <w:tcW w:w="1053"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7</w:t>
            </w:r>
          </w:p>
        </w:tc>
        <w:tc>
          <w:tcPr>
            <w:tcW w:w="724"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公共文化</w:t>
            </w:r>
          </w:p>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体育领域</w:t>
            </w:r>
          </w:p>
        </w:tc>
        <w:tc>
          <w:tcPr>
            <w:tcW w:w="5168"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大力推进公共文化体育的服务保障政策、服务体系建设、财政资金投入和使用、设施建设和使用以及政府购买公共文化体育服务的目录、绩效评价结果等信息公开。及时公开公共文化体育设施名录、公益性文化服务活动、公益性体育赛事和活动、全民健身系列活动等情况。</w:t>
            </w:r>
          </w:p>
        </w:tc>
        <w:tc>
          <w:tcPr>
            <w:tcW w:w="870" w:type="dxa"/>
            <w:vAlign w:val="center"/>
          </w:tcPr>
          <w:p>
            <w:pPr>
              <w:jc w:val="cente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实时公开</w:t>
            </w:r>
          </w:p>
        </w:tc>
        <w:tc>
          <w:tcPr>
            <w:tcW w:w="2415"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沙坡头区政府门户网站，“宁夏政务服务网”网上大厅等政务服务平台，政府公报、政务新媒体、政府新闻发布会、广播电视、报纸杂志、公示栏、宣传册等平台和办事大厅、便民服务窗口等场所，以及主流新闻媒体、新闻网站等</w:t>
            </w:r>
          </w:p>
        </w:tc>
        <w:tc>
          <w:tcPr>
            <w:tcW w:w="2325"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区旅游和文化体育广电局，各乡镇人民政府</w:t>
            </w:r>
          </w:p>
        </w:tc>
        <w:tc>
          <w:tcPr>
            <w:tcW w:w="1290" w:type="dxa"/>
            <w:vAlign w:val="center"/>
          </w:tcPr>
          <w:p>
            <w:pPr>
              <w:jc w:val="left"/>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t>社会公众、新闻媒体</w:t>
            </w:r>
          </w:p>
        </w:tc>
      </w:tr>
    </w:tbl>
    <w:p>
      <w:pPr>
        <w:jc w:val="left"/>
        <w:rPr>
          <w:rFonts w:hint="default" w:ascii="Times New Roman" w:hAnsi="Times New Roman" w:eastAsia="仿宋_GB2312" w:cs="Times New Roman"/>
          <w:color w:val="000000" w:themeColor="text1"/>
          <w:kern w:val="2"/>
          <w:sz w:val="20"/>
          <w:szCs w:val="20"/>
          <w:vertAlign w:val="baseline"/>
          <w:lang w:val="en-US" w:eastAsia="zh-CN" w:bidi="ar-SA"/>
          <w14:textFill>
            <w14:solidFill>
              <w14:schemeClr w14:val="tx1"/>
            </w14:solidFill>
          </w14:textFill>
        </w:rPr>
      </w:pPr>
    </w:p>
    <w:p/>
    <w:sectPr>
      <w:pgSz w:w="16838" w:h="11906" w:orient="landscape"/>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C4DFF"/>
    <w:rsid w:val="0D0C4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43" w:firstLineChars="200"/>
    </w:pPr>
    <w:rPr>
      <w:rFonts w:ascii="黑体" w:hAnsi="仿宋" w:eastAsia="黑体"/>
      <w:b/>
      <w:szCs w:val="32"/>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spacing w:after="120"/>
      <w:ind w:left="200" w:leftChars="200" w:firstLine="420" w:firstLineChars="200"/>
    </w:pPr>
    <w:rPr>
      <w:rFonts w:ascii="Times New Roman" w:cs="Times New Roma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2019-08-22T10:57:00Z</dcterms:created>
  <dc:creator>晨晨</dc:creator>
  <cp:lastModifiedBy>晨晨</cp:lastModifiedBy>
  <dcterms:modified xsi:type="dcterms:W3CDTF">2019-08-22T10:59:05Z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