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Cs w:val="32"/>
          <w:u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u w:val="none"/>
        </w:rPr>
        <w:t>沙坡头区重点湖泊断面水质目标表</w:t>
      </w:r>
      <w:bookmarkEnd w:id="0"/>
    </w:p>
    <w:tbl>
      <w:tblPr>
        <w:tblStyle w:val="4"/>
        <w:tblpPr w:leftFromText="180" w:rightFromText="180" w:vertAnchor="text" w:horzAnchor="page" w:tblpXSpec="center" w:tblpY="613"/>
        <w:tblOverlap w:val="never"/>
        <w:tblW w:w="9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518"/>
        <w:gridCol w:w="1247"/>
        <w:gridCol w:w="1382"/>
        <w:gridCol w:w="1566"/>
        <w:gridCol w:w="1947"/>
        <w:gridCol w:w="85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序号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水体名称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地市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县区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监测断面（点位）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名称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断面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功能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断面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属性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香山湖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中卫市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沙坡头区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香山湖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湖泊所在地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国控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III类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C42E4"/>
    <w:rsid w:val="55A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2019-06-13T09:33:00Z</dcterms:created>
  <dc:creator>Administrator</dc:creator>
  <cp:lastModifiedBy>Administrator</cp:lastModifiedBy>
  <dcterms:modified xsi:type="dcterms:W3CDTF">2019-06-13T09:34:30Z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