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left="-412" w:leftChars="-200" w:right="-560" w:rightChars="-272" w:firstLine="316" w:firstLineChars="1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</w:p>
    <w:tbl>
      <w:tblPr>
        <w:tblStyle w:val="7"/>
        <w:tblW w:w="13905" w:type="dxa"/>
        <w:jc w:val="center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7268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39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2"/>
              <w:spacing w:after="0" w:line="600" w:lineRule="exact"/>
              <w:ind w:left="-412" w:leftChars="-200" w:right="-560" w:rightChars="-272" w:firstLine="0" w:firstLineChars="0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农村人居环境整治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重点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工作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责任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分工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9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2"/>
              <w:spacing w:after="0" w:line="600" w:lineRule="exact"/>
              <w:ind w:left="-412" w:leftChars="-200" w:right="-560" w:rightChars="-272" w:firstLine="0" w:firstLineChars="0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重点任务</w:t>
            </w:r>
          </w:p>
        </w:tc>
        <w:tc>
          <w:tcPr>
            <w:tcW w:w="72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工作内容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spacing w:after="0" w:line="600" w:lineRule="exact"/>
              <w:ind w:left="-412" w:leftChars="-200" w:right="-560" w:rightChars="-272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（一）整治提升村容村貌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1.提升村庄公共环境</w:t>
            </w:r>
          </w:p>
        </w:tc>
        <w:tc>
          <w:tcPr>
            <w:tcW w:w="7268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广泛发动群众，开展专项治理行动，清理私搭乱建、乱堆乱放，拆除残垣断壁。把村庄公共空间和庭院环境整治好。</w:t>
            </w:r>
          </w:p>
        </w:tc>
        <w:tc>
          <w:tcPr>
            <w:tcW w:w="2858" w:type="dxa"/>
            <w:vAlign w:val="center"/>
          </w:tcPr>
          <w:p>
            <w:pPr>
              <w:spacing w:line="260" w:lineRule="exact"/>
              <w:ind w:firstLine="196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住房城乡建设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和交通局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2.推进村内道路硬化</w:t>
            </w:r>
          </w:p>
        </w:tc>
        <w:tc>
          <w:tcPr>
            <w:tcW w:w="7268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积极推进符合条件的撤并建制村通硬化路问题。加快推进通村组道路、入户道路建设，基本解决村内道路泥泞、村民出行不便等问题。</w:t>
            </w:r>
          </w:p>
        </w:tc>
        <w:tc>
          <w:tcPr>
            <w:tcW w:w="2858" w:type="dxa"/>
            <w:vAlign w:val="center"/>
          </w:tcPr>
          <w:p>
            <w:pPr>
              <w:spacing w:line="260" w:lineRule="exact"/>
              <w:ind w:firstLine="196" w:firstLineChars="10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3.加强乡村建筑风貌引导</w:t>
            </w:r>
          </w:p>
        </w:tc>
        <w:tc>
          <w:tcPr>
            <w:tcW w:w="7268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在确保建筑质量的基础上，突出乡土风情、地域特点，防止千村一面。严格控制新建民房体量和风貌，对已有农房结合质量安全改造推进风貌提升，在严格保护的前提下修缮传统建筑，加快改造农村危房危窑。加大历史文化名村名镇保护。</w:t>
            </w:r>
          </w:p>
        </w:tc>
        <w:tc>
          <w:tcPr>
            <w:tcW w:w="2858" w:type="dxa"/>
            <w:vAlign w:val="center"/>
          </w:tcPr>
          <w:p>
            <w:pPr>
              <w:spacing w:line="260" w:lineRule="exact"/>
              <w:ind w:firstLine="196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4.实施乡村绿化行动</w:t>
            </w:r>
          </w:p>
        </w:tc>
        <w:tc>
          <w:tcPr>
            <w:tcW w:w="7268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加强农田防护林建设，建设绿色生态村庄。开展环村林带、沟渠河湖路沿线、房前屋后和庭院绿化，充分利用闲置土地见缝插绿，因地制宜种植树木和花草。坚决杜绝毁坏林木现象发生。</w:t>
            </w:r>
          </w:p>
        </w:tc>
        <w:tc>
          <w:tcPr>
            <w:tcW w:w="2858" w:type="dxa"/>
            <w:vAlign w:val="center"/>
          </w:tcPr>
          <w:p>
            <w:pPr>
              <w:spacing w:line="260" w:lineRule="exact"/>
              <w:ind w:firstLine="784" w:firstLineChars="4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5.推进卫生乡镇等卫生创建工作，深入开展城乡环境卫生整洁行动</w:t>
            </w:r>
          </w:p>
        </w:tc>
        <w:tc>
          <w:tcPr>
            <w:tcW w:w="7268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贯彻落实《全国城乡环境卫生整洁行动方案（2015-2020年）》，2020年，国家卫生乡镇比例提高到5%。</w:t>
            </w:r>
          </w:p>
        </w:tc>
        <w:tc>
          <w:tcPr>
            <w:tcW w:w="2858" w:type="dxa"/>
            <w:vAlign w:val="center"/>
          </w:tcPr>
          <w:p>
            <w:pPr>
              <w:spacing w:line="260" w:lineRule="exact"/>
              <w:ind w:firstLine="784" w:firstLineChars="4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卫生健康局</w:t>
            </w:r>
          </w:p>
        </w:tc>
      </w:tr>
    </w:tbl>
    <w:p>
      <w:pPr>
        <w:spacing w:line="260" w:lineRule="exact"/>
        <w:jc w:val="center"/>
        <w:rPr>
          <w:rFonts w:hint="default" w:ascii="Times New Roman" w:hAnsi="Times New Roman" w:eastAsia="宋体" w:cs="Times New Roman"/>
          <w:b/>
          <w:sz w:val="24"/>
        </w:rPr>
        <w:sectPr>
          <w:footerReference r:id="rId3" w:type="default"/>
          <w:pgSz w:w="16838" w:h="11906" w:orient="landscape"/>
          <w:pgMar w:top="2098" w:right="1474" w:bottom="1984" w:left="1587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-849"/>
        </w:sectPr>
      </w:pPr>
    </w:p>
    <w:tbl>
      <w:tblPr>
        <w:tblStyle w:val="7"/>
        <w:tblW w:w="13725" w:type="dxa"/>
        <w:jc w:val="center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6701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3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2"/>
              <w:spacing w:after="0" w:line="600" w:lineRule="exact"/>
              <w:ind w:left="-412" w:leftChars="-200" w:right="-560" w:rightChars="-272" w:firstLine="0" w:firstLineChars="0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农村人居环境整治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重点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工作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责任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分工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7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（二）推进农村生活垃圾治理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779" w:type="dxa"/>
            <w:vMerge w:val="restart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6.集中清理整治垃圾山、垃圾围村、工业污染“上山下乡”等</w:t>
            </w: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基本完成较大规模的生活垃圾非正规垃圾堆放点整治。</w:t>
            </w:r>
          </w:p>
        </w:tc>
        <w:tc>
          <w:tcPr>
            <w:tcW w:w="3245" w:type="dxa"/>
            <w:vAlign w:val="center"/>
          </w:tcPr>
          <w:p>
            <w:pPr>
              <w:spacing w:line="260" w:lineRule="exact"/>
              <w:ind w:firstLine="196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79" w:type="dxa"/>
            <w:vMerge w:val="continue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加强工业固体废物违法违规转移监管和打击力度，防控工业污染“上山下乡”。</w:t>
            </w:r>
          </w:p>
        </w:tc>
        <w:tc>
          <w:tcPr>
            <w:tcW w:w="3245" w:type="dxa"/>
            <w:vAlign w:val="center"/>
          </w:tcPr>
          <w:p>
            <w:pPr>
              <w:spacing w:line="260" w:lineRule="exact"/>
              <w:ind w:firstLine="588" w:firstLineChars="3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779" w:type="dxa"/>
            <w:vMerge w:val="continue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基本完成“垃圾围坝”整治。</w:t>
            </w:r>
          </w:p>
        </w:tc>
        <w:tc>
          <w:tcPr>
            <w:tcW w:w="3245" w:type="dxa"/>
            <w:vAlign w:val="center"/>
          </w:tcPr>
          <w:p>
            <w:pPr>
              <w:spacing w:line="260" w:lineRule="exact"/>
              <w:ind w:firstLine="784" w:firstLineChars="4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779" w:type="dxa"/>
            <w:vMerge w:val="continue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基本完成农业生产废弃物非正规堆放点整治。</w:t>
            </w:r>
          </w:p>
        </w:tc>
        <w:tc>
          <w:tcPr>
            <w:tcW w:w="3245" w:type="dxa"/>
            <w:vAlign w:val="center"/>
          </w:tcPr>
          <w:p>
            <w:pPr>
              <w:spacing w:line="260" w:lineRule="exact"/>
              <w:ind w:firstLine="588" w:firstLineChars="3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7.建立健全生活垃圾收运处置体系</w:t>
            </w: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统筹农村生活垃圾收运处理设施布局。建立健全符合农村实际、方式多</w:t>
            </w:r>
            <w:r>
              <w:rPr>
                <w:rFonts w:hint="default" w:ascii="Times New Roman" w:hAnsi="Times New Roman" w:eastAsia="宋体" w:cs="Times New Roman"/>
                <w:spacing w:val="-16"/>
                <w:sz w:val="20"/>
                <w:szCs w:val="20"/>
              </w:rPr>
              <w:t>样的生活垃圾收运处置体系，防止农村生活垃圾收而不治、随意倾倒填埋。</w:t>
            </w:r>
          </w:p>
        </w:tc>
        <w:tc>
          <w:tcPr>
            <w:tcW w:w="3245" w:type="dxa"/>
            <w:vAlign w:val="center"/>
          </w:tcPr>
          <w:p>
            <w:pPr>
              <w:spacing w:line="260" w:lineRule="exact"/>
              <w:ind w:firstLine="392" w:firstLineChars="2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377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8.建立生活垃圾回收利用体系</w:t>
            </w:r>
          </w:p>
        </w:tc>
        <w:tc>
          <w:tcPr>
            <w:tcW w:w="670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引导农民群众转变生产生活方式，完善“户分类、村收集、乡镇转、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处理”主体模式，建设配齐垃圾处理场所、中转站、收集点、垃圾箱等设施设备，建立健全环卫运行体系。认定一批农村生活垃圾分类和资源化利用示范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乡镇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。</w:t>
            </w:r>
          </w:p>
        </w:tc>
        <w:tc>
          <w:tcPr>
            <w:tcW w:w="3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392" w:firstLineChars="2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9.构建村庄保洁长效机制</w:t>
            </w:r>
          </w:p>
        </w:tc>
        <w:tc>
          <w:tcPr>
            <w:tcW w:w="6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鼓励有条件的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乡镇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建立城乡统一的保洁机制，推广社会化保洁服务模式。 保障稳定的经费来源，结合实际通过以工代赈、工资补助等方式，设立保洁员岗位，优先安排家庭经济困难的劳动力从事村庄保洁工作。</w:t>
            </w:r>
          </w:p>
        </w:tc>
        <w:tc>
          <w:tcPr>
            <w:tcW w:w="32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96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财政局</w:t>
            </w:r>
          </w:p>
        </w:tc>
      </w:tr>
    </w:tbl>
    <w:p>
      <w:pPr>
        <w:pStyle w:val="2"/>
        <w:spacing w:after="0" w:line="600" w:lineRule="exact"/>
        <w:ind w:left="-412" w:leftChars="-200" w:right="-560" w:rightChars="-272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sectPr>
          <w:footerReference r:id="rId4" w:type="default"/>
          <w:pgSz w:w="16838" w:h="11906" w:orient="landscape"/>
          <w:pgMar w:top="2098" w:right="1474" w:bottom="1984" w:left="1587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-849"/>
        </w:sectPr>
      </w:pPr>
    </w:p>
    <w:tbl>
      <w:tblPr>
        <w:tblStyle w:val="7"/>
        <w:tblW w:w="13713" w:type="dxa"/>
        <w:jc w:val="center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6701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3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2"/>
              <w:spacing w:after="0" w:line="600" w:lineRule="exact"/>
              <w:ind w:left="-412" w:leftChars="-200" w:right="-560" w:rightChars="-272" w:firstLine="0" w:firstLineChars="0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农村人居环境整治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重点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工作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责任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分工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1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（三）推进农村生活污水治理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10.加强污水处理设施建设，强化污水处理科技支撑</w:t>
            </w: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根据农村不同区位条件、村庄人口聚集程度、污水产生规模，因地制宜采用污染治理与资源利用相结合、工程措施与生态措施相结合、集中与分散相结合的建设模式和处理工艺。加快研发并示范推广低成本、低能耗、易维护、高效率的农村生活污水处理技术和生态处理工艺。</w:t>
            </w:r>
          </w:p>
        </w:tc>
        <w:tc>
          <w:tcPr>
            <w:tcW w:w="3233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生态环境分局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科学和技术局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11.将农村水环境治理纳入河长制、湖长制管理</w:t>
            </w: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将农村水环境治理纳入河长制、湖长制管理。</w:t>
            </w:r>
          </w:p>
        </w:tc>
        <w:tc>
          <w:tcPr>
            <w:tcW w:w="3233" w:type="dxa"/>
            <w:vAlign w:val="center"/>
          </w:tcPr>
          <w:p>
            <w:pPr>
              <w:spacing w:line="260" w:lineRule="exact"/>
              <w:ind w:firstLine="1176" w:firstLineChars="6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12.开展村庄水体清理，逐步消除农村各类黑臭水体</w:t>
            </w: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以房前屋后河塘沟渠、排水沟等为重点实施清淤疏浚，采取综合措施恢复水生态，逐步消除农村黑臭水体。</w:t>
            </w:r>
          </w:p>
        </w:tc>
        <w:tc>
          <w:tcPr>
            <w:tcW w:w="3233" w:type="dxa"/>
            <w:vAlign w:val="center"/>
          </w:tcPr>
          <w:p>
            <w:pPr>
              <w:spacing w:line="260" w:lineRule="exact"/>
              <w:ind w:firstLine="392" w:firstLineChars="2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生态环境分局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71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（四）推进“厕所革命”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13.推进农村户用卫生厕所改造</w:t>
            </w: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科学确定农村厕所建设改造标准，推广适应地域特点、农民群众能够接受的改厕模式，加大改造投入力度，降低厕所使用成本，让农民既用得好、又用得起，防止脱离实际。</w:t>
            </w:r>
          </w:p>
        </w:tc>
        <w:tc>
          <w:tcPr>
            <w:tcW w:w="3233" w:type="dxa"/>
            <w:vAlign w:val="center"/>
          </w:tcPr>
          <w:p>
            <w:pPr>
              <w:spacing w:line="260" w:lineRule="exact"/>
              <w:ind w:firstLine="392" w:firstLineChars="2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14.加强农村公共厕所建设</w:t>
            </w:r>
          </w:p>
        </w:tc>
        <w:tc>
          <w:tcPr>
            <w:tcW w:w="6701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在人口规模较大的村庄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农村人流量大公共场所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和乡村旅游政策扶持范围内的村庄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配套建设公共厕所。</w:t>
            </w:r>
          </w:p>
        </w:tc>
        <w:tc>
          <w:tcPr>
            <w:tcW w:w="3233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旅游和文化体育广电局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77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15.厕所粪污处理</w:t>
            </w:r>
          </w:p>
        </w:tc>
        <w:tc>
          <w:tcPr>
            <w:tcW w:w="670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农户厕所的改造要同步进行粪污处理。鼓励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乡镇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结合实际，将厕所粪污、畜禽养殖废弃物一并处理并资源化利用。</w:t>
            </w:r>
          </w:p>
        </w:tc>
        <w:tc>
          <w:tcPr>
            <w:tcW w:w="323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392" w:firstLineChars="200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卫生健康局</w:t>
            </w:r>
          </w:p>
        </w:tc>
      </w:tr>
    </w:tbl>
    <w:p>
      <w:pPr>
        <w:pStyle w:val="2"/>
        <w:spacing w:after="0" w:line="600" w:lineRule="exact"/>
        <w:ind w:left="-412" w:leftChars="-200" w:right="-560" w:rightChars="-272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sectPr>
          <w:footerReference r:id="rId5" w:type="default"/>
          <w:pgSz w:w="16838" w:h="11906" w:orient="landscape"/>
          <w:pgMar w:top="2098" w:right="1474" w:bottom="1984" w:left="1587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-849"/>
        </w:sectPr>
      </w:pPr>
    </w:p>
    <w:tbl>
      <w:tblPr>
        <w:tblStyle w:val="7"/>
        <w:tblW w:w="13385" w:type="dxa"/>
        <w:jc w:val="center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6794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3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2"/>
              <w:spacing w:after="0" w:line="600" w:lineRule="exact"/>
              <w:ind w:left="-420" w:leftChars="-200" w:right="-571" w:rightChars="-272" w:firstLine="0" w:firstLineChars="0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农村人居环境整治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重点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工作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责任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</w:rPr>
              <w:t>分工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（五）推进农业生产废弃物资源化利用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16.推进畜禽粪污资源化利用</w:t>
            </w:r>
          </w:p>
        </w:tc>
        <w:tc>
          <w:tcPr>
            <w:tcW w:w="6794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以农用有机肥和农村能源为主要利用方向，力争在“十三五”时期，基本解决大规模畜禽养殖场粪污处理和资源化利用问题。开展畜牧业绿色发展示范县创建活动。推动有机肥等补助政策落到实处，制定畜禽粪肥还田利用标准，加强粪肥科学还田利用指导，推动有机肥替代化肥。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spacing w:line="260" w:lineRule="exact"/>
              <w:ind w:firstLine="800" w:firstLineChars="40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17.推进农作物秸秆综合利用</w:t>
            </w:r>
          </w:p>
        </w:tc>
        <w:tc>
          <w:tcPr>
            <w:tcW w:w="6794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培育壮大秸秆产业化利用主体，构建政府、企业、农民三方利益联结机制，集成推广一批秸秆收、储、运、用的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域典型模式，建立秸秆利用的长效机制。</w:t>
            </w:r>
          </w:p>
        </w:tc>
        <w:tc>
          <w:tcPr>
            <w:tcW w:w="2812" w:type="dxa"/>
            <w:vMerge w:val="continue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18.推进农膜回收利用</w:t>
            </w:r>
          </w:p>
        </w:tc>
        <w:tc>
          <w:tcPr>
            <w:tcW w:w="6794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加快标准地膜推广应用，加快可降解地膜推广应用，加大棚膜回收利用力度。培育地膜回收市场主体，鼓励各地探索标准地膜推广应用与回收补贴挂钩机制，试点“谁生产、谁回收”的生产者责任延伸制。</w:t>
            </w:r>
          </w:p>
        </w:tc>
        <w:tc>
          <w:tcPr>
            <w:tcW w:w="2812" w:type="dxa"/>
            <w:vMerge w:val="continue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19.推进农村清洁能源开发利用</w:t>
            </w:r>
          </w:p>
        </w:tc>
        <w:tc>
          <w:tcPr>
            <w:tcW w:w="6794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坚持宜气则气，宜电则定电，提高农村清洁用能比重。</w:t>
            </w:r>
          </w:p>
        </w:tc>
        <w:tc>
          <w:tcPr>
            <w:tcW w:w="281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发展和改革局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（六）完善建设和管护机制</w:t>
            </w:r>
          </w:p>
        </w:tc>
        <w:tc>
          <w:tcPr>
            <w:tcW w:w="6794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坚持先建机制、后建工程，明确管护标准，做到有制度管护、有资金维护、有人员看护。鼓励有条件的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乡镇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探索建立垃圾污水处理农户付费制度，完善财政补贴和农户付费合理分担机制。完善农民参与引导机制，采取以工代赈、以奖代补等方式鼓励农民投工投劳参与建设管护。简化农村人居环境整治建设项目审批和招投标程序。认真总结提炼一批农村人居环境建设运行管护机制。</w:t>
            </w:r>
          </w:p>
        </w:tc>
        <w:tc>
          <w:tcPr>
            <w:tcW w:w="281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发展和改革局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财政局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、住房城乡建设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和交通局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生态环境分局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3779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（七）加强村庄规划工作</w:t>
            </w:r>
          </w:p>
        </w:tc>
        <w:tc>
          <w:tcPr>
            <w:tcW w:w="6794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建立健全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乡镇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党委领导负责、各相关部门依照职能分工协同负责的村庄规划管理工作格局，着力完善村庄规划编制管理制度，扎实做好村庄调查、分类和布局，推动各类规划在村域层面“多规合一”，以科学的村庄规划引领全区乡村高质量发展，推进乡村振兴战略实施。</w:t>
            </w:r>
          </w:p>
        </w:tc>
        <w:tc>
          <w:tcPr>
            <w:tcW w:w="2812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农业农村局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、自然资源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住房城乡建设和交通局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发展和改革局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4LBYbAgAAIwQAAA4AAABkcnMvZTJvRG9jLnhtbK1Ty47TMBTdI/EP&#10;lvc0aYFR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zeUaKYwo9OP76efD6df3wj+AFBr/Qx2GwvL0L0zHYyHf4/P2HdX&#10;ORVvdESgB9THC7yiC4RHp+lkOs2h4tAND8TPHt2t8+G9MIpEoaAO80uwssPah950MInZtFk1UqYZ&#10;Sk3agl69fps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24LBY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DNS0Hi8AQAAZ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128905</wp:posOffset>
              </wp:positionV>
              <wp:extent cx="1828800" cy="2838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15pt;height:22.35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gpf39YA&#10;AAAGAQAADwAAAAAAAAABACAAAAAiAAAAZHJzL2Rvd25yZXYueG1sUEsBAhQAFAAAAAgAh07iQP0A&#10;k1GvAQAAOwMAAA4AAAAAAAAAAQAgAAAAJQEAAGRycy9lMm9Eb2MueG1sUEsFBgAAAAAGAAYAWQEA&#10;AE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MVo1Ty8AQAAZ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137160</wp:posOffset>
              </wp:positionV>
              <wp:extent cx="513715" cy="23749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8pt;height:18.7pt;width:40.45pt;mso-position-horizontal:outside;mso-position-horizontal-relative:margin;z-index:251667456;mso-width-relative:page;mso-height-relative:page;" filled="f" stroked="f" coordsize="21600,21600" o:gfxdata="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wgVjbUAAAABQEAAA8A&#10;AAAAAAAAAQAgAAAAIgAAAGRycy9kb3ducmV2LnhtbFBLAQIUABQAAAAIAIdO4kD1NfXbqQEAAC4D&#10;AAAOAAAAAAAAAAEAIAAAACMBAABkcnMvZTJvRG9jLnhtbFBLBQYAAAAABgAGAFkBAAA+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FUSkcq8AQAAZ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78A5"/>
    <w:rsid w:val="7EF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2019-05-10T02:42:00Z</dcterms:created>
  <dc:creator>Administrator</dc:creator>
  <cp:lastModifiedBy>Administrator</cp:lastModifiedBy>
  <dcterms:modified xsi:type="dcterms:W3CDTF">2019-05-10T02:43:53Z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