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autoSpaceDE/>
        <w:autoSpaceDN/>
        <w:bidi w:val="0"/>
        <w:adjustRightInd/>
        <w:snapToGrid/>
        <w:spacing w:line="560" w:lineRule="exact"/>
        <w:textAlignment w:val="auto"/>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附件3</w:t>
      </w:r>
    </w:p>
    <w:p>
      <w:pPr>
        <w:keepNext w:val="0"/>
        <w:keepLines w:val="0"/>
        <w:pageBreakBefore w:val="0"/>
        <w:widowControl/>
        <w:kinsoku/>
        <w:wordWrap/>
        <w:overflowPunct/>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_GBK" w:cs="Times New Roman"/>
          <w:color w:val="000000"/>
          <w:kern w:val="0"/>
          <w:sz w:val="44"/>
          <w:szCs w:val="44"/>
        </w:rPr>
        <w:t>矿山事故现场处置措施</w:t>
      </w:r>
    </w:p>
    <w:p>
      <w:pPr>
        <w:keepNext w:val="0"/>
        <w:keepLines w:val="0"/>
        <w:pageBreakBefore w:val="0"/>
        <w:widowControl/>
        <w:kinsoku/>
        <w:wordWrap/>
        <w:overflowPunct/>
        <w:autoSpaceDE/>
        <w:autoSpaceDN/>
        <w:bidi w:val="0"/>
        <w:adjustRightInd/>
        <w:snapToGrid/>
        <w:spacing w:line="560" w:lineRule="exact"/>
        <w:ind w:firstLine="560" w:firstLineChars="200"/>
        <w:jc w:val="left"/>
        <w:textAlignment w:val="auto"/>
        <w:rPr>
          <w:rFonts w:hint="default" w:ascii="Times New Roman" w:hAnsi="Times New Roman" w:cs="Times New Roman"/>
          <w:color w:val="000000"/>
          <w:kern w:val="0"/>
          <w:sz w:val="28"/>
          <w:szCs w:val="28"/>
        </w:rPr>
      </w:pP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一、现场应急处置要点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发生矿山（煤矿、非煤矿山）事故，事故现场指挥部应科学采取下列一项或多项应急处置措施：</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1.迅速组织撤出灾区和受威胁区域的人员，同时探明事故类型及发生的地点和范围，查明被困人员，组织营救；</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2.根据事故类型迅速采取措施，控制事态发展；</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3.尽快抢修被破坏的巷道或工作面，使原有生产系统尽可能恢复功能，创造抢救与处理事故的条件；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4.迅速调集应急救援物资及食物、饮用水，尽可能向被困人员提供生存必需保障；</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5.关闭或者限制使用有关场所，中止可能导致危害扩大的生产经营活动以及采取其他保护措施。在火灾、爆破器材爆炸事故现场，应严禁明火，禁止或者限制使用能产生静电、火花的有关设备、设施；</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6.采取防止发生次生、衍生事件的必要措施。</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二、常见矿山事故处置要点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矿山事故常见类型为：边坡坍塌事故、透水事故、冒顶片帮事故、中毒窒息事故、火灾事故、爆破器材爆炸事故、矿井提升事故、触电停电事故等，针对上述矿山事故的特点，其处置方案要点分别如下：</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（一）边坡坍塌事故处置方案要点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1.确定边坡坍塌事故发生的位置和范围；</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2.迅速组织撤出灾区和受威胁区域的人员；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3.明确事故发生地的工程地质条件、岩土性质，台阶与边坡的设计参数及相关气候条件；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4.明确事故地点的危险因素，尤其是存在的浮石、险石；</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5.明确所需的边坡坍塌应急救援处置技术和专家；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6.确定清除危险源的基本方法；</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7.确定受灾人员救助方案；</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8.在抢救、处理过程中，必须有专人检查、监视边坡情况，防止二次坍塌、事故扩大。</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（二）透水事故处置方案要点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1.确定透水事故发生的地点和范围；</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2.迅速撤出灾区人员，并规定受到透水威胁地点的所有人员安全撤退的路线；</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3.明确透水地点的水文地质及气候条件；</w:t>
      </w:r>
    </w:p>
    <w:p>
      <w:pPr>
        <w:keepNext w:val="0"/>
        <w:keepLines w:val="0"/>
        <w:pageBreakBefore w:val="0"/>
        <w:widowControl/>
        <w:kinsoku/>
        <w:wordWrap/>
        <w:overflowPunct/>
        <w:topLine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4.明确透水矿井作业范围内的井区、采空区、积水区等的相关参数及井下主要排水设备的情况；                            5.尽快判明水源情况，立即关闭巷道防水门、封堵防水墙、其它防控水闸门等，保证排水设备不被淹没，根据水情决定是否切断现场电源，防止水中带电伤人，电气设备短路烧坏；</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6.排水能力不足时，应增加水泵和管路（包括利用其它管路作临时排水管）；</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7.针对具体情况进行阻水，如有泥砂涌出时，应建筑滤水墙，并规定滤水墙的建筑位置和顺序；</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8.明确防止二次透水的措施，防止扩大事故；</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9.明确所需的事故应急救援处置技术和专家；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10.明确可能需要调动的应急救援力量及物资保障；</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11.确定井下排水及受困人员救援方案；</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12.在抢救、处理过程中，必须有专人检查、监视透水矿井外部水系状况，防止洪流、河水及地下水持续灌入井下。</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（三）冒顶片帮事故处置方案要点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1.确定事故发生区域范围和被埋压、堵截的人数和位置，并分析抢救、处理条件；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2.明确事故发生地点的地质条件、岩土性质及巷道、工作面的相关设计参数；</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3.迅速恢复冒顶区的正常通风，必要时利用压风管、水管或打钻孔向被埋压或截堵的人员供给新鲜空气；</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4.必须坚持由外向里，加强支护，清理出抢救人员的通道，必要时可开掘通向遇难人员的专用巷道；</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5.抢救中，禁止用爆炸的方法处理阻碍的大块岩石，如果因大块岩石威胁遇难人员，可用石块、木头等支撑使其稳定，也可用千斤顶等工具移动大石块，但应尽量避免破坏冒落岩石的堆积状态；</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6.在抢救、处理过程中，必须安排专人检查、监视顶板两边情况，防止二次事故发生。</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（四）中毒窒息事故处置方案要点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1.施救人员必须配备使用、防毒设施，保证施救者自身安全；</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2.明确中毒窒息原由（有害气体的来源），迅速撤出灾区人员，抢救遇险人员；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3.明确通风线路，加强对充满有害气体的主要巷道通风，应急救援指挥部根据需要决定是否反风；</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4.及时撤出因正常通风或反风而受到有害气体威胁区域的人员，准备处理事故所必需的设备、材料；</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5.在抢救、处理过程中，必须有专人检测有害气体浓度等情况，防止发生次生、衍生事故。</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（五）火灾事故处置方案要点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1.在起火原因、火区范围查明之前，施救人员必须配备使用防毒设施，保证施救者自身安全；</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2.迅速组织撤出灾区和受威胁区域的人员；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3.探明火区地点、范围和尽可能找到起火原因；</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4.迅速切断灾区电源；</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5.采取措施防止火区和火灾中产生的各种有毒有害气体向其他巷道和工作面蔓延；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6.科学慎重选用灭火方法；</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7.在整个抢救和处理过程中，必须安排专人严密监测有害气体及风向的变化，防止出现中毒窒息等次生、衍生事故；</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8.明确通风线路，根据需要决定是否反风；</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9.明确所需的事故应急救援处置技术和专家；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10.明确可能需要调动的应急救援力量及物资保障；</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11.确定受困人员救援方案。</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（六）爆破器材爆炸事故处置方案要点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1.迅速组织撤出灾区和受威胁区域的人员；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2.确定事故发生的地点和范围；</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3.迅速切断灾区电源；</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4.明确爆炸地点的周围环境，特别要查明有无引爆其它爆炸源、火源、有毒有害气体液体泄漏等；</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5.排除现场危险物品，特别是附近易燃易爆物品；</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6.确定爆炸后危险因素（火灾、有毒气体产生、大面积塌方、坍塌等）控制措施；</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7.明确所需的事故应急救援处置技术和专家；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8.明确可能需要调动的应急救援力量及物资保障；</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9.确定受困人员救援方案。</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（七）矿井提升运输事故处置方案要点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1.确定事故发生的位置；</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2.迅速组织撤离灾区和受威胁区域的人员；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3.迅速采取措施，控制制动闸，切断电源，设置警戒标志；</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4.抢救前，应了解现场顶板、气体、支护、电气设备等情况，确认无误后，实施抢救工作；</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5.在抢救、处理过程中，提升设备恢复运行前，必须确保信号系统工作正常后再进行空载测试，不得载物直接运行；</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6.明确所需的事故应急救援处置技术和专家；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7.明确可能需要调动的应急救援力量及物资保障。</w:t>
      </w:r>
    </w:p>
    <w:p>
      <w:pPr>
        <w:keepNext w:val="0"/>
        <w:keepLines w:val="0"/>
        <w:pageBreakBefore w:val="0"/>
        <w:widowControl/>
        <w:kinsoku/>
        <w:wordWrap/>
        <w:overflowPunct/>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（八）触电、停电事故处置方案要点</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1.确定事故发生的位置和区域；</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2.迅速组织撤离出灾区和受威胁区域的人员；</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3.确定事故发生原因、范围和类型；</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4.明确井下受困人员救援方案；</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5.当发生大面积停电事故时，停电区域停止作业，查明停电事故性质和范围及停电原因，制定恢复送电方案；</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6.当发生触电事故时，迅速切断电源，设置警戒标志。在抢救和处理过程中，使用绝缘工具，防止再次触电；</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7.明确所需的事故应急救援处置技术和专家；</w:t>
      </w:r>
    </w:p>
    <w:p>
      <w:pPr>
        <w:keepNext w:val="0"/>
        <w:keepLines w:val="0"/>
        <w:pageBreakBefore w:val="0"/>
        <w:widowControl/>
        <w:kinsoku/>
        <w:wordWrap/>
        <w:overflowPunct/>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8.明确可能需要调动的应急救援力量及物资保障。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017D5"/>
    <w:rsid w:val="2030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200" w:leftChars="200" w:firstLine="420" w:firstLineChars="200"/>
    </w:pPr>
    <w:rPr>
      <w:rFonts w:ascii="Times New Roman"/>
    </w:rPr>
  </w:style>
  <w:style w:type="paragraph" w:styleId="3">
    <w:name w:val="Body Text Indent"/>
    <w:basedOn w:val="1"/>
    <w:qFormat/>
    <w:uiPriority w:val="99"/>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2020-03-08T03:23:00Z</dcterms:created>
  <dc:creator>不明觉厉</dc:creator>
  <cp:lastModifiedBy>不明觉厉</cp:lastModifiedBy>
  <dcterms:modified xsi:type="dcterms:W3CDTF">2020-03-08T03:24:06Z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