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B6" w:rsidRDefault="005F2EB6" w:rsidP="002A1BD1">
      <w:pPr>
        <w:widowControl/>
        <w:spacing w:before="100" w:beforeAutospacing="1" w:after="100" w:afterAutospacing="1"/>
        <w:outlineLvl w:val="1"/>
        <w:rPr>
          <w:b/>
          <w:kern w:val="0"/>
          <w:sz w:val="44"/>
          <w:szCs w:val="44"/>
        </w:rPr>
      </w:pPr>
    </w:p>
    <w:p w:rsidR="005F2EB6" w:rsidRDefault="00A07CBA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t>沙坡头区农村产权流转服务中心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/>
          <w:b/>
          <w:kern w:val="0"/>
          <w:sz w:val="36"/>
          <w:szCs w:val="36"/>
        </w:rPr>
        <w:t>预算表</w:t>
      </w:r>
    </w:p>
    <w:p w:rsidR="005F2EB6" w:rsidRDefault="00A07CB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 w:rsidR="005F2EB6" w:rsidRDefault="00A07CBA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5F2EB6" w:rsidRDefault="00A07CBA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ayout w:type="fixed"/>
        <w:tblLook w:val="04A0"/>
      </w:tblPr>
      <w:tblGrid>
        <w:gridCol w:w="3860"/>
        <w:gridCol w:w="1360"/>
        <w:gridCol w:w="3860"/>
        <w:gridCol w:w="1360"/>
        <w:gridCol w:w="1360"/>
        <w:gridCol w:w="1360"/>
      </w:tblGrid>
      <w:tr w:rsidR="005F2EB6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5F2EB6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5F2EB6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B6" w:rsidRDefault="005F2EB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2EB6" w:rsidRDefault="005F2EB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2EB6" w:rsidRDefault="005F2EB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46.76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46.76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46.76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46.76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19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36.68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36.68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46.76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46.76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46.76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5F2EB6" w:rsidRDefault="00A07CBA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5F2EB6" w:rsidRDefault="005F2EB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5F2EB6" w:rsidRDefault="005F2EB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5F2EB6" w:rsidRDefault="005F2EB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5F2EB6" w:rsidRDefault="00A07CB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二、财政拨款支出预算总表</w:t>
      </w:r>
    </w:p>
    <w:p w:rsidR="005F2EB6" w:rsidRDefault="005F2EB6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5F2EB6" w:rsidRDefault="00A07CBA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 w:rsidR="005F2EB6" w:rsidRDefault="00A07CBA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37" w:type="dxa"/>
        <w:tblInd w:w="91" w:type="dxa"/>
        <w:tblLayout w:type="fixed"/>
        <w:tblLook w:val="04A0"/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 w:rsidR="005F2EB6">
        <w:trPr>
          <w:trHeight w:val="555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5F2EB6">
        <w:trPr>
          <w:trHeight w:val="135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5F2EB6">
        <w:trPr>
          <w:trHeight w:val="5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2EB6">
        <w:trPr>
          <w:trHeight w:val="60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2EB6">
        <w:trPr>
          <w:trHeight w:val="61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36.68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36.68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36.68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2EB6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2EB6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46.76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46.76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46.76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5F2EB6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2EB6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F2EB6" w:rsidRDefault="00A07CB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三、一般公共预算支出表</w:t>
      </w:r>
    </w:p>
    <w:p w:rsidR="005F2EB6" w:rsidRDefault="005F2EB6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5F2EB6" w:rsidRDefault="00A07CBA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5F2EB6" w:rsidRDefault="00A07CBA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10" w:type="dxa"/>
        <w:tblInd w:w="91" w:type="dxa"/>
        <w:tblLayout w:type="fixed"/>
        <w:tblLook w:val="04A0"/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 w:rsidR="005F2EB6">
        <w:trPr>
          <w:trHeight w:val="555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5F2EB6" w:rsidRDefault="005F2EB6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5F2EB6">
        <w:trPr>
          <w:trHeight w:val="135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5F2EB6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F2EB6">
        <w:trPr>
          <w:trHeight w:val="60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F2EB6">
        <w:trPr>
          <w:trHeight w:val="61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36.68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36.68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F2EB6">
        <w:trPr>
          <w:trHeight w:val="62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F2EB6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46.76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46.76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F2EB6">
        <w:trPr>
          <w:trHeight w:val="608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F2EB6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5F2EB6" w:rsidRDefault="00A07CB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四、一般公共预算基本支出表</w:t>
      </w:r>
    </w:p>
    <w:p w:rsidR="005F2EB6" w:rsidRDefault="00A07CBA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5F2EB6" w:rsidRDefault="00A07CBA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ayout w:type="fixed"/>
        <w:tblLook w:val="04A0"/>
      </w:tblPr>
      <w:tblGrid>
        <w:gridCol w:w="2357"/>
        <w:gridCol w:w="3600"/>
        <w:gridCol w:w="2520"/>
        <w:gridCol w:w="2700"/>
        <w:gridCol w:w="2520"/>
      </w:tblGrid>
      <w:tr w:rsidR="005F2EB6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5F2EB6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5F2EB6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46.76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2.26</w:t>
            </w: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13.08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13.08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9.13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9.13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</w:t>
            </w: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</w:t>
            </w: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</w:t>
            </w: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0.26</w:t>
            </w: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0.6</w:t>
            </w: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</w:t>
            </w: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rPr>
                <w:sz w:val="22"/>
                <w:szCs w:val="22"/>
              </w:rPr>
            </w:pPr>
          </w:p>
        </w:tc>
      </w:tr>
      <w:tr w:rsidR="005F2EB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</w:tbl>
    <w:p w:rsidR="005F2EB6" w:rsidRDefault="005F2EB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5F2EB6" w:rsidRDefault="00A07CB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经费支出表</w:t>
      </w:r>
    </w:p>
    <w:p w:rsidR="005F2EB6" w:rsidRDefault="00A07CBA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</w:t>
      </w:r>
      <w:r>
        <w:rPr>
          <w:rFonts w:eastAsia="仿宋_GB2312"/>
          <w:b/>
          <w:kern w:val="0"/>
          <w:sz w:val="36"/>
          <w:szCs w:val="36"/>
        </w:rPr>
        <w:t>“</w:t>
      </w:r>
      <w:r>
        <w:rPr>
          <w:rFonts w:eastAsia="仿宋_GB2312"/>
          <w:b/>
          <w:kern w:val="0"/>
          <w:sz w:val="36"/>
          <w:szCs w:val="36"/>
        </w:rPr>
        <w:t>三公</w:t>
      </w:r>
      <w:r>
        <w:rPr>
          <w:rFonts w:eastAsia="仿宋_GB2312"/>
          <w:b/>
          <w:kern w:val="0"/>
          <w:sz w:val="36"/>
          <w:szCs w:val="36"/>
        </w:rPr>
        <w:t>”</w:t>
      </w:r>
      <w:r>
        <w:rPr>
          <w:rFonts w:eastAsia="仿宋_GB2312"/>
          <w:b/>
          <w:kern w:val="0"/>
          <w:sz w:val="36"/>
          <w:szCs w:val="36"/>
        </w:rPr>
        <w:t>经费支出表</w:t>
      </w:r>
    </w:p>
    <w:p w:rsidR="005F2EB6" w:rsidRDefault="00A07CBA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ayout w:type="fixed"/>
        <w:tblLook w:val="04A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5F2EB6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5F2EB6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5F2EB6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5F2EB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0.5</w:t>
            </w:r>
          </w:p>
        </w:tc>
      </w:tr>
      <w:tr w:rsidR="005F2EB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F2EB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F2EB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F2EB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5F2EB6" w:rsidRDefault="005F2EB6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5F2EB6" w:rsidRDefault="005F2EB6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5F2EB6" w:rsidRDefault="005F2EB6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5F2EB6" w:rsidRDefault="00A07CBA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六、政府性基金预算支出表</w:t>
      </w:r>
    </w:p>
    <w:p w:rsidR="005F2EB6" w:rsidRDefault="00A07CBA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5F2EB6" w:rsidRDefault="00A07CBA">
      <w:pPr>
        <w:widowControl/>
        <w:ind w:firstLineChars="200" w:firstLine="723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6"/>
          <w:szCs w:val="36"/>
        </w:rPr>
        <w:t xml:space="preserve">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ayout w:type="fixed"/>
        <w:tblLook w:val="04A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F2EB6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5F2EB6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5F2EB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2EB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2EB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2EB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2EB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2EB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5F2EB6" w:rsidRDefault="005F2EB6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5F2EB6" w:rsidRDefault="00A07CB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七、部门收支预算总表</w:t>
      </w:r>
    </w:p>
    <w:p w:rsidR="005F2EB6" w:rsidRDefault="00A07CBA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 w:rsidR="005F2EB6" w:rsidRDefault="00A07CBA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ayout w:type="fixed"/>
        <w:tblLook w:val="04A0"/>
      </w:tblPr>
      <w:tblGrid>
        <w:gridCol w:w="3860"/>
        <w:gridCol w:w="1737"/>
        <w:gridCol w:w="3483"/>
        <w:gridCol w:w="1557"/>
        <w:gridCol w:w="1620"/>
        <w:gridCol w:w="1440"/>
      </w:tblGrid>
      <w:tr w:rsidR="005F2EB6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5F2EB6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5F2EB6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46.76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46.76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46.76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46.76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36.68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36.68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F2EB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46.76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bookmarkEnd w:id="0"/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46.76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46.76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5F2EB6">
            <w:pPr>
              <w:widowControl/>
              <w:jc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F2EB6" w:rsidRDefault="00A07CBA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5F2EB6" w:rsidRDefault="005F2EB6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5F2EB6" w:rsidRDefault="005F2EB6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5F2EB6" w:rsidRDefault="005F2EB6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5F2EB6" w:rsidRDefault="005F2EB6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5F2EB6" w:rsidRDefault="005F2EB6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5F2EB6" w:rsidRDefault="00A07CBA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八、部门收入总表</w:t>
      </w:r>
    </w:p>
    <w:p w:rsidR="005F2EB6" w:rsidRDefault="00A07CBA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 w:rsidR="005F2EB6" w:rsidRDefault="00A07CBA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20" w:type="dxa"/>
        <w:tblInd w:w="91" w:type="dxa"/>
        <w:tblLayout w:type="fixed"/>
        <w:tblLook w:val="04A0"/>
      </w:tblPr>
      <w:tblGrid>
        <w:gridCol w:w="1380"/>
        <w:gridCol w:w="2043"/>
        <w:gridCol w:w="697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5F2EB6">
        <w:trPr>
          <w:trHeight w:val="1009"/>
        </w:trPr>
        <w:tc>
          <w:tcPr>
            <w:tcW w:w="3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5F2EB6">
        <w:trPr>
          <w:trHeight w:val="201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5F2EB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5F2EB6">
        <w:trPr>
          <w:trHeight w:val="51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F2EB6">
        <w:trPr>
          <w:trHeight w:val="44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36.68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36.68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36.68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F2EB6">
        <w:trPr>
          <w:trHeight w:val="44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F2EB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合计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spacing w:line="480" w:lineRule="exact"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46.76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46.76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46.76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F2EB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F2EB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5F2EB6" w:rsidRDefault="005F2EB6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5F2EB6" w:rsidRDefault="00A07CBA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九、部门支出总表</w:t>
      </w:r>
    </w:p>
    <w:p w:rsidR="005F2EB6" w:rsidRDefault="00A07CBA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 w:rsidR="005F2EB6" w:rsidRDefault="00A07CBA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ayout w:type="fixed"/>
        <w:tblLook w:val="04A0"/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 w:rsidR="005F2EB6">
        <w:trPr>
          <w:trHeight w:val="84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5F2EB6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EB6" w:rsidRDefault="005F2EB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5F2EB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F2EB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F2EB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36.68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36.68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F2EB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F2EB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合计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46.76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46.76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F2EB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F2EB6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B6" w:rsidRDefault="00A07C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5F2EB6" w:rsidRDefault="005F2EB6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5F2EB6" w:rsidRDefault="005F2EB6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5F2EB6">
          <w:footerReference w:type="default" r:id="rId8"/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5F2EB6" w:rsidRDefault="005F2EB6" w:rsidP="002A1BD1">
      <w:pPr>
        <w:widowControl/>
        <w:ind w:left="1680" w:hangingChars="800" w:hanging="1680"/>
        <w:jc w:val="left"/>
        <w:outlineLvl w:val="1"/>
      </w:pPr>
    </w:p>
    <w:sectPr w:rsidR="005F2EB6" w:rsidSect="005F2EB6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CBA" w:rsidRDefault="00A07CBA" w:rsidP="005F2EB6">
      <w:r>
        <w:separator/>
      </w:r>
    </w:p>
  </w:endnote>
  <w:endnote w:type="continuationSeparator" w:id="0">
    <w:p w:rsidR="00A07CBA" w:rsidRDefault="00A07CBA" w:rsidP="005F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B6" w:rsidRDefault="005F2EB6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07CBA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2A1BD1" w:rsidRPr="002A1BD1">
      <w:rPr>
        <w:noProof/>
        <w:sz w:val="28"/>
        <w:szCs w:val="28"/>
        <w:lang w:val="zh-CN"/>
      </w:rPr>
      <w:t>-</w:t>
    </w:r>
    <w:r w:rsidR="002A1BD1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5F2EB6" w:rsidRDefault="005F2E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CBA" w:rsidRDefault="00A07CBA" w:rsidP="005F2EB6">
      <w:r>
        <w:separator/>
      </w:r>
    </w:p>
  </w:footnote>
  <w:footnote w:type="continuationSeparator" w:id="0">
    <w:p w:rsidR="00A07CBA" w:rsidRDefault="00A07CBA" w:rsidP="005F2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6B34FC"/>
    <w:multiLevelType w:val="singleLevel"/>
    <w:tmpl w:val="D36B34F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36AE2"/>
    <w:rsid w:val="002A1BD1"/>
    <w:rsid w:val="00336AE2"/>
    <w:rsid w:val="00597797"/>
    <w:rsid w:val="005F2EB6"/>
    <w:rsid w:val="00A07CBA"/>
    <w:rsid w:val="00AE113B"/>
    <w:rsid w:val="00C81AFE"/>
    <w:rsid w:val="02CC3C9D"/>
    <w:rsid w:val="06092525"/>
    <w:rsid w:val="082C3F15"/>
    <w:rsid w:val="090427CE"/>
    <w:rsid w:val="0F7C75B2"/>
    <w:rsid w:val="0F981820"/>
    <w:rsid w:val="12487B25"/>
    <w:rsid w:val="12950D1B"/>
    <w:rsid w:val="13461DFC"/>
    <w:rsid w:val="181B72FC"/>
    <w:rsid w:val="197F7440"/>
    <w:rsid w:val="19F71BD7"/>
    <w:rsid w:val="1AD37C85"/>
    <w:rsid w:val="1ADC5931"/>
    <w:rsid w:val="1B69064B"/>
    <w:rsid w:val="1B9B2033"/>
    <w:rsid w:val="1C770EAE"/>
    <w:rsid w:val="222B5A61"/>
    <w:rsid w:val="2DEC0D47"/>
    <w:rsid w:val="2E04280C"/>
    <w:rsid w:val="32420721"/>
    <w:rsid w:val="33286C2D"/>
    <w:rsid w:val="35A473AB"/>
    <w:rsid w:val="36680619"/>
    <w:rsid w:val="3A5437C0"/>
    <w:rsid w:val="41F24F8D"/>
    <w:rsid w:val="423E2F38"/>
    <w:rsid w:val="42F2450D"/>
    <w:rsid w:val="468410CB"/>
    <w:rsid w:val="4E181925"/>
    <w:rsid w:val="4E6E235A"/>
    <w:rsid w:val="4EF64A33"/>
    <w:rsid w:val="4FC7408B"/>
    <w:rsid w:val="50C64F7E"/>
    <w:rsid w:val="53982968"/>
    <w:rsid w:val="593333E4"/>
    <w:rsid w:val="5CF732D7"/>
    <w:rsid w:val="5F44465C"/>
    <w:rsid w:val="674457D1"/>
    <w:rsid w:val="68CC4C82"/>
    <w:rsid w:val="698B5030"/>
    <w:rsid w:val="6B5432E6"/>
    <w:rsid w:val="6CD3765E"/>
    <w:rsid w:val="6D246F58"/>
    <w:rsid w:val="6F7B446F"/>
    <w:rsid w:val="7028745A"/>
    <w:rsid w:val="75781D8C"/>
    <w:rsid w:val="7697143D"/>
    <w:rsid w:val="778E0842"/>
    <w:rsid w:val="79EB5736"/>
    <w:rsid w:val="7CC7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5F2EB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F2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F2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qFormat/>
    <w:rsid w:val="005F2E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5F2EB6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5F2EB6"/>
    <w:rPr>
      <w:color w:val="333333"/>
      <w:u w:val="none"/>
    </w:rPr>
  </w:style>
  <w:style w:type="character" w:styleId="a9">
    <w:name w:val="Emphasis"/>
    <w:basedOn w:val="a0"/>
    <w:uiPriority w:val="20"/>
    <w:qFormat/>
    <w:rsid w:val="005F2EB6"/>
  </w:style>
  <w:style w:type="character" w:styleId="HTML">
    <w:name w:val="HTML Definition"/>
    <w:basedOn w:val="a0"/>
    <w:uiPriority w:val="99"/>
    <w:semiHidden/>
    <w:unhideWhenUsed/>
    <w:qFormat/>
    <w:rsid w:val="005F2EB6"/>
  </w:style>
  <w:style w:type="character" w:styleId="HTML0">
    <w:name w:val="HTML Variable"/>
    <w:basedOn w:val="a0"/>
    <w:uiPriority w:val="99"/>
    <w:semiHidden/>
    <w:unhideWhenUsed/>
    <w:qFormat/>
    <w:rsid w:val="005F2EB6"/>
  </w:style>
  <w:style w:type="character" w:styleId="aa">
    <w:name w:val="Hyperlink"/>
    <w:basedOn w:val="a0"/>
    <w:uiPriority w:val="99"/>
    <w:semiHidden/>
    <w:unhideWhenUsed/>
    <w:rsid w:val="005F2EB6"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sid w:val="005F2EB6"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0"/>
    <w:uiPriority w:val="99"/>
    <w:semiHidden/>
    <w:unhideWhenUsed/>
    <w:qFormat/>
    <w:rsid w:val="005F2EB6"/>
  </w:style>
  <w:style w:type="character" w:styleId="HTML3">
    <w:name w:val="HTML Keyboard"/>
    <w:basedOn w:val="a0"/>
    <w:uiPriority w:val="99"/>
    <w:semiHidden/>
    <w:unhideWhenUsed/>
    <w:qFormat/>
    <w:rsid w:val="005F2EB6"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uiPriority w:val="99"/>
    <w:semiHidden/>
    <w:unhideWhenUsed/>
    <w:qFormat/>
    <w:rsid w:val="005F2EB6"/>
    <w:rPr>
      <w:rFonts w:ascii="Courier New" w:eastAsia="Courier New" w:hAnsi="Courier New" w:cs="Courier New"/>
    </w:rPr>
  </w:style>
  <w:style w:type="paragraph" w:styleId="ab">
    <w:name w:val="List Paragraph"/>
    <w:basedOn w:val="a"/>
    <w:uiPriority w:val="34"/>
    <w:qFormat/>
    <w:rsid w:val="005F2EB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semiHidden/>
    <w:qFormat/>
    <w:rsid w:val="005F2EB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5F2EB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F2EB6"/>
    <w:rPr>
      <w:rFonts w:ascii="Times New Roman" w:eastAsia="宋体" w:hAnsi="Times New Roman" w:cs="Times New Roman"/>
      <w:sz w:val="18"/>
      <w:szCs w:val="18"/>
    </w:rPr>
  </w:style>
  <w:style w:type="character" w:customStyle="1" w:styleId="hover00">
    <w:name w:val="hover00"/>
    <w:basedOn w:val="a0"/>
    <w:rsid w:val="005F2EB6"/>
    <w:rPr>
      <w:shd w:val="clear" w:color="auto" w:fill="B51017"/>
    </w:rPr>
  </w:style>
  <w:style w:type="character" w:customStyle="1" w:styleId="hover221">
    <w:name w:val="hover221"/>
    <w:basedOn w:val="a0"/>
    <w:rsid w:val="005F2EB6"/>
    <w:rPr>
      <w:shd w:val="clear" w:color="auto" w:fill="B510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844</Words>
  <Characters>4817</Characters>
  <Application>Microsoft Office Word</Application>
  <DocSecurity>0</DocSecurity>
  <Lines>40</Lines>
  <Paragraphs>11</Paragraphs>
  <ScaleCrop>false</ScaleCrop>
  <Company>联想（北京）有限公司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2018-02-11T09:46:00Z</dcterms:created>
  <dcterms:modified xsi:type="dcterms:W3CDTF">2018-02-11T09:46:00Z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