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中卫市沙坡头区农业</w:t>
      </w:r>
      <w:r>
        <w:rPr>
          <w:rFonts w:hint="eastAsia" w:ascii="方正小标宋简体" w:hAnsi="方正小标宋简体" w:eastAsia="方正小标宋简体" w:cs="方正小标宋简体"/>
          <w:b w:val="0"/>
          <w:bCs/>
          <w:spacing w:val="-34"/>
          <w:kern w:val="0"/>
          <w:sz w:val="84"/>
          <w:szCs w:val="84"/>
          <w:lang w:eastAsia="zh-CN"/>
        </w:rPr>
        <w:t>农村局部门</w:t>
      </w:r>
      <w:r>
        <w:rPr>
          <w:rFonts w:hint="eastAsia" w:ascii="方正小标宋简体" w:hAnsi="方正小标宋简体" w:eastAsia="方正小标宋简体" w:cs="方正小标宋简体"/>
          <w:b w:val="0"/>
          <w:bCs/>
          <w:color w:val="auto"/>
          <w:spacing w:val="-34"/>
          <w:kern w:val="0"/>
          <w:sz w:val="84"/>
          <w:szCs w:val="84"/>
          <w:lang w:eastAsia="zh-CN"/>
        </w:rPr>
        <w:t>（本级）</w:t>
      </w:r>
      <w:r>
        <w:rPr>
          <w:rFonts w:hint="eastAsia" w:ascii="方正小标宋简体" w:hAnsi="方正小标宋简体" w:eastAsia="方正小标宋简体" w:cs="方正小标宋简体"/>
          <w:b w:val="0"/>
          <w:bCs/>
          <w:color w:val="auto"/>
          <w:spacing w:val="-34"/>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单位职责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统筹研究和组织实施“三农”工作的中长期规划、重大政策。指导农业综合执法。参与制定涉农的财税、价格、收储金融保险、进出口等政策措施。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统筹推动发展农村社会事业、农村公共服务、农村文化、农村基础设施和乡村治理。牵头组织改善沙坡头区农村人居环境，负责农村卫生改厕工作。指导农村精神文明和优秀农耕文化建设。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提出深化农村经济体制改革和巩固完善农村基本经营制度的政策建议。负责农民承包地、农村宅基地改革和管理有关工作。负责农村集体产权制度改革，指导农村集体经济组织发展和集体资产管理工作。负责农村综合产权的流转交易服务。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指导乡村特色产业、农产品加工业、休闲农业发展工作。提出促进农产品流通的建议，培育、保护农业品牌。发布农业农村经济信息，监测分析农业农村经济运行。承担农业统计和农业农村信息化有关工作。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负责设施蔬菜、硒砂瓜、畜牧产业、渔业、农业机械化等农业各产业的监督管理。指导粮食等农产品生产。组织构建现代农业产业体系、生产体系、经营体系，指导农业标准化生产。负责渔业和渔政监督管理。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负责农产品质量安全监督管理。组织开展农产品质量安全监测、追溯、风险评估。参与制定农产品质量安全地方标准 并会同有关部门组织实施。指导农业检验检测体系建设。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组织农业资源区划工作。指导农用地、渔业水域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负责有关农业生产资料和农业投入品的监督管理。组织农业生产资料市场体系建设，监督实施农业生产资料地区标准，贯彻执行农药、兽药质量、兽药残留限量和残留检测方法地方标准。负责农药质量监督管理。组织兽医医政、兽药药政药检工作负责执业兽医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负责农业防灾减灾、农作物重大病虫害监测防控工作。指导动植物防疫检疫体系建设，组织、监督辖区内动植物防疫检疫工作，组织扑灭疫情。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负责农业投资管理。提出农业投融资体制机制改革建议。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牵头负责农业农村人才工作。负责农业产业人才培养、引进、使用和管理工作。负责农业和农村人才工作的政策研究、宏观指导和综合协调工作。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牵头开展农业对外合作交流工作。承办农业涉外事务，组织开展农业贸易促进和有关国际经济、技术交流合作，具体执行有关农业援外项目。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指导农业行业安全生产工作。负责种植业、畜牧业渔业等农业行业安全生产工作。承担农药、农村沼气、农业机械和农村合作经济组织的安全生产监督管理。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负责农田整治项目、农田水利建设项目、高效节水灌溉项目管理工作。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承担区委农办日常工作。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bCs/>
          <w:kern w:val="0"/>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完成沙坡头区委、政府和区委农村工作领导小组交办的其他任务。 </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r>
        <w:rPr>
          <w:rFonts w:hint="eastAsia" w:ascii="黑体" w:hAnsi="黑体" w:eastAsia="黑体" w:cs="宋体"/>
          <w:b/>
          <w:bCs/>
          <w:kern w:val="0"/>
          <w:sz w:val="32"/>
          <w:szCs w:val="32"/>
        </w:rPr>
        <w:t xml:space="preserve">    </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中卫市沙坡头区农业农村局是一级预算的行政单位，资金来源主要依靠财政拨款，隶属于沙坡头区人民政府，在区政府领导下开展各项工作。</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截止2019年12月31日，本年在职人员</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人，全部为行政人员。局机关内设办公室、种植业办、畜牧办、项目办、财务办。本单位是独立核算、全额预算拨款的行政机关。</w:t>
      </w: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7"/>
        <w:gridCol w:w="612"/>
        <w:gridCol w:w="1844"/>
        <w:gridCol w:w="4235"/>
        <w:gridCol w:w="70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4740" w:type="dxa"/>
            <w:gridSpan w:val="7"/>
            <w:tcBorders>
              <w:top w:val="nil"/>
              <w:left w:val="nil"/>
              <w:bottom w:val="nil"/>
              <w:right w:val="nil"/>
            </w:tcBorders>
            <w:vAlign w:val="bottom"/>
          </w:tcPr>
          <w:p>
            <w:pPr>
              <w:spacing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exact"/>
          <w:jc w:val="center"/>
        </w:trPr>
        <w:tc>
          <w:tcPr>
            <w:tcW w:w="48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nil"/>
              <w:bottom w:val="nil"/>
              <w:right w:val="nil"/>
            </w:tcBorders>
            <w:vAlign w:val="bottom"/>
          </w:tcPr>
          <w:p>
            <w:pPr>
              <w:widowControl/>
              <w:jc w:val="left"/>
              <w:rPr>
                <w:rFonts w:hint="eastAsia" w:ascii="宋体" w:hAnsi="宋体" w:eastAsia="宋体" w:cs="Arial"/>
                <w:color w:val="000000"/>
                <w:kern w:val="0"/>
                <w:sz w:val="24"/>
                <w:lang w:eastAsia="zh-CN"/>
              </w:rPr>
            </w:pPr>
            <w:r>
              <w:rPr>
                <w:rFonts w:hint="eastAsia" w:ascii="宋体" w:hAnsi="宋体" w:cs="Arial"/>
                <w:color w:val="000000"/>
                <w:kern w:val="0"/>
                <w:sz w:val="20"/>
                <w:szCs w:val="20"/>
              </w:rPr>
              <w:t>公开部门：</w:t>
            </w:r>
            <w:r>
              <w:rPr>
                <w:rFonts w:hint="eastAsia" w:ascii="宋体" w:hAnsi="宋体" w:cs="Arial"/>
                <w:color w:val="000000"/>
                <w:kern w:val="0"/>
                <w:sz w:val="20"/>
                <w:szCs w:val="20"/>
                <w:lang w:eastAsia="zh-CN"/>
              </w:rPr>
              <w:t>中卫市沙坡头区农业农村局（本级）</w:t>
            </w:r>
          </w:p>
        </w:tc>
        <w:tc>
          <w:tcPr>
            <w:tcW w:w="61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184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251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84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4235"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1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w:t>
            </w:r>
            <w:r>
              <w:rPr>
                <w:rFonts w:hint="eastAsia" w:asciiTheme="minorEastAsia" w:hAnsiTheme="minorEastAsia" w:eastAsiaTheme="minorEastAsia" w:cstheme="minorEastAsia"/>
                <w:color w:val="000000"/>
                <w:kern w:val="0"/>
                <w:sz w:val="18"/>
                <w:szCs w:val="18"/>
                <w:lang w:eastAsia="zh-CN"/>
              </w:rPr>
              <w:t>一般公共预算</w:t>
            </w:r>
            <w:r>
              <w:rPr>
                <w:rFonts w:hint="eastAsia" w:asciiTheme="minorEastAsia" w:hAnsiTheme="minorEastAsia" w:eastAsiaTheme="minorEastAsia" w:cstheme="minorEastAsia"/>
                <w:color w:val="000000"/>
                <w:kern w:val="0"/>
                <w:sz w:val="18"/>
                <w:szCs w:val="18"/>
              </w:rPr>
              <w:t>财政拨款收入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366,378,308.61</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29</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44,936.07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二、</w:t>
            </w:r>
            <w:r>
              <w:rPr>
                <w:rFonts w:hint="eastAsia" w:asciiTheme="minorEastAsia" w:hAnsiTheme="minorEastAsia" w:eastAsiaTheme="minorEastAsia" w:cstheme="minorEastAsia"/>
                <w:color w:val="000000"/>
                <w:kern w:val="0"/>
                <w:sz w:val="18"/>
                <w:szCs w:val="18"/>
              </w:rPr>
              <w:t>政府性基金预算财政拨款</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二、外交支出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30</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三</w:t>
            </w:r>
            <w:r>
              <w:rPr>
                <w:rFonts w:hint="eastAsia" w:asciiTheme="minorEastAsia" w:hAnsiTheme="minorEastAsia" w:eastAsiaTheme="minorEastAsia" w:cstheme="minorEastAsia"/>
                <w:color w:val="000000"/>
                <w:kern w:val="0"/>
                <w:sz w:val="18"/>
                <w:szCs w:val="18"/>
              </w:rPr>
              <w:t>、上级补助收入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三、国防支出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四</w:t>
            </w:r>
            <w:r>
              <w:rPr>
                <w:rFonts w:hint="eastAsia" w:asciiTheme="minorEastAsia" w:hAnsiTheme="minorEastAsia" w:eastAsiaTheme="minorEastAsia" w:cstheme="minorEastAsia"/>
                <w:color w:val="000000"/>
                <w:kern w:val="0"/>
                <w:sz w:val="18"/>
                <w:szCs w:val="18"/>
              </w:rPr>
              <w:t>、事业收入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五</w:t>
            </w:r>
            <w:r>
              <w:rPr>
                <w:rFonts w:hint="eastAsia" w:asciiTheme="minorEastAsia" w:hAnsiTheme="minorEastAsia" w:eastAsiaTheme="minorEastAsia" w:cstheme="minorEastAsia"/>
                <w:color w:val="000000"/>
                <w:kern w:val="0"/>
                <w:sz w:val="18"/>
                <w:szCs w:val="18"/>
              </w:rPr>
              <w:t>、经营收入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五、教育支出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33</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六</w:t>
            </w:r>
            <w:r>
              <w:rPr>
                <w:rFonts w:hint="eastAsia" w:asciiTheme="minorEastAsia" w:hAnsiTheme="minorEastAsia" w:eastAsiaTheme="minorEastAsia" w:cstheme="minorEastAsia"/>
                <w:color w:val="000000"/>
                <w:kern w:val="0"/>
                <w:sz w:val="18"/>
                <w:szCs w:val="18"/>
              </w:rPr>
              <w:t>、附属单位上缴收入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七</w:t>
            </w:r>
            <w:r>
              <w:rPr>
                <w:rFonts w:hint="eastAsia" w:asciiTheme="minorEastAsia" w:hAnsiTheme="minorEastAsia" w:eastAsiaTheme="minorEastAsia" w:cstheme="minorEastAsia"/>
                <w:color w:val="000000"/>
                <w:kern w:val="0"/>
                <w:sz w:val="18"/>
                <w:szCs w:val="18"/>
              </w:rPr>
              <w:t>、其他收入</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77,419,418.21</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七、文化</w:t>
            </w:r>
            <w:r>
              <w:rPr>
                <w:rFonts w:hint="eastAsia" w:asciiTheme="minorEastAsia" w:hAnsiTheme="minorEastAsia" w:eastAsiaTheme="minorEastAsia" w:cstheme="minorEastAsia"/>
                <w:color w:val="000000"/>
                <w:kern w:val="0"/>
                <w:sz w:val="18"/>
                <w:szCs w:val="18"/>
                <w:lang w:eastAsia="zh-CN"/>
              </w:rPr>
              <w:t>旅游</w:t>
            </w:r>
            <w:r>
              <w:rPr>
                <w:rFonts w:hint="eastAsia" w:asciiTheme="minorEastAsia" w:hAnsiTheme="minorEastAsia" w:eastAsiaTheme="minorEastAsia" w:cstheme="minorEastAsia"/>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35</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480,574.93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九、</w:t>
            </w:r>
            <w:r>
              <w:rPr>
                <w:rFonts w:hint="eastAsia" w:asciiTheme="minorEastAsia" w:hAnsiTheme="minorEastAsia" w:eastAsiaTheme="minorEastAsia" w:cstheme="minorEastAsia"/>
                <w:color w:val="000000"/>
                <w:kern w:val="0"/>
                <w:sz w:val="18"/>
                <w:szCs w:val="18"/>
                <w:lang w:eastAsia="zh-CN"/>
              </w:rPr>
              <w:t>卫生健康</w:t>
            </w:r>
            <w:r>
              <w:rPr>
                <w:rFonts w:hint="eastAsia" w:asciiTheme="minorEastAsia" w:hAnsiTheme="minorEastAsia" w:eastAsiaTheme="minorEastAsia" w:cstheme="minorEastAsia"/>
                <w:color w:val="000000"/>
                <w:kern w:val="0"/>
                <w:sz w:val="18"/>
                <w:szCs w:val="18"/>
              </w:rPr>
              <w:t>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37</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76,249.24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38</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46,600,759.00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39</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250,279,540.61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41</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42</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43</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auto"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844"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auto"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十六、金融支出</w:t>
            </w:r>
          </w:p>
        </w:tc>
        <w:tc>
          <w:tcPr>
            <w:tcW w:w="701" w:type="dxa"/>
            <w:gridSpan w:val="2"/>
            <w:tcBorders>
              <w:top w:val="nil"/>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44</w:t>
            </w:r>
          </w:p>
        </w:tc>
        <w:tc>
          <w:tcPr>
            <w:tcW w:w="2511"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十八、</w:t>
            </w:r>
            <w:r>
              <w:rPr>
                <w:rFonts w:hint="eastAsia" w:asciiTheme="minorEastAsia" w:hAnsiTheme="minorEastAsia" w:eastAsiaTheme="minorEastAsia" w:cstheme="minorEastAsia"/>
                <w:color w:val="000000"/>
                <w:kern w:val="0"/>
                <w:sz w:val="18"/>
                <w:szCs w:val="18"/>
                <w:lang w:eastAsia="zh-CN"/>
              </w:rPr>
              <w:t>自然资源</w:t>
            </w:r>
            <w:r>
              <w:rPr>
                <w:rFonts w:hint="eastAsia" w:asciiTheme="minorEastAsia" w:hAnsiTheme="minorEastAsia" w:eastAsiaTheme="minorEastAsia" w:cstheme="minorEastAsia"/>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single" w:color="auto"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844"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single" w:color="auto" w:sz="4"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2511"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445,683.00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21</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49</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2</w:t>
            </w:r>
          </w:p>
        </w:tc>
        <w:tc>
          <w:tcPr>
            <w:tcW w:w="1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w:t>
            </w:r>
            <w:r>
              <w:rPr>
                <w:rFonts w:hint="eastAsia" w:asciiTheme="minorEastAsia" w:hAnsiTheme="minorEastAsia" w:eastAsiaTheme="minorEastAsia" w:cstheme="minorEastAsia"/>
                <w:color w:val="000000"/>
                <w:kern w:val="0"/>
                <w:sz w:val="18"/>
                <w:szCs w:val="18"/>
                <w:lang w:eastAsia="zh-CN"/>
              </w:rPr>
              <w:t>二</w:t>
            </w:r>
            <w:r>
              <w:rPr>
                <w:rFonts w:hint="eastAsia" w:asciiTheme="minorEastAsia" w:hAnsiTheme="minorEastAsia" w:eastAsiaTheme="minorEastAsia" w:cstheme="minorEastAsia"/>
                <w:color w:val="000000"/>
                <w:kern w:val="0"/>
                <w:sz w:val="18"/>
                <w:szCs w:val="18"/>
              </w:rPr>
              <w:t>、其他支出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50</w:t>
            </w:r>
          </w:p>
        </w:tc>
        <w:tc>
          <w:tcPr>
            <w:tcW w:w="25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23</w:t>
            </w:r>
          </w:p>
        </w:tc>
        <w:tc>
          <w:tcPr>
            <w:tcW w:w="1844"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kern w:val="0"/>
                <w:sz w:val="18"/>
                <w:szCs w:val="18"/>
                <w:lang w:val="en-US" w:eastAsia="zh-CN"/>
              </w:rPr>
            </w:pPr>
            <w:r>
              <w:rPr>
                <w:rFonts w:hint="eastAsia" w:asciiTheme="minorEastAsia" w:hAnsiTheme="minorEastAsia" w:eastAsiaTheme="minorEastAsia" w:cstheme="minorEastAsia"/>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24</w:t>
            </w:r>
          </w:p>
        </w:tc>
        <w:tc>
          <w:tcPr>
            <w:tcW w:w="1844"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本年收入合计</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5</w:t>
            </w:r>
          </w:p>
        </w:tc>
        <w:tc>
          <w:tcPr>
            <w:tcW w:w="1844" w:type="dxa"/>
            <w:tcBorders>
              <w:top w:val="nil"/>
              <w:left w:val="nil"/>
              <w:bottom w:val="single" w:color="000000" w:sz="4" w:space="0"/>
              <w:right w:val="nil"/>
            </w:tcBorders>
            <w:vAlign w:val="bottom"/>
          </w:tcPr>
          <w:p>
            <w:pPr>
              <w:keepNext w:val="0"/>
              <w:keepLines w:val="0"/>
              <w:widowControl/>
              <w:suppressLineNumbers w:val="0"/>
              <w:jc w:val="righ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b/>
                <w:bCs/>
                <w:i w:val="0"/>
                <w:color w:val="000000"/>
                <w:kern w:val="0"/>
                <w:sz w:val="20"/>
                <w:szCs w:val="20"/>
                <w:u w:val="none"/>
                <w:lang w:val="en-US" w:eastAsia="zh-CN" w:bidi="ar"/>
              </w:rPr>
              <w:t>443,797,726.82</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313,481,844.95</w:t>
            </w:r>
          </w:p>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用事业基金弥补收支差额</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6</w:t>
            </w:r>
          </w:p>
        </w:tc>
        <w:tc>
          <w:tcPr>
            <w:tcW w:w="1844"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exact"/>
          <w:jc w:val="center"/>
        </w:trPr>
        <w:tc>
          <w:tcPr>
            <w:tcW w:w="4837"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年初结转和结余</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2</w:t>
            </w:r>
            <w:r>
              <w:rPr>
                <w:rFonts w:hint="eastAsia" w:asciiTheme="minorEastAsia" w:hAnsiTheme="minorEastAsia" w:eastAsiaTheme="minorEastAsia" w:cstheme="minorEastAsia"/>
                <w:color w:val="000000"/>
                <w:kern w:val="0"/>
                <w:sz w:val="18"/>
                <w:szCs w:val="18"/>
                <w:lang w:val="en-US" w:eastAsia="zh-CN"/>
              </w:rPr>
              <w:t>7</w:t>
            </w:r>
          </w:p>
        </w:tc>
        <w:tc>
          <w:tcPr>
            <w:tcW w:w="1844"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22,894,858.37</w:t>
            </w:r>
          </w:p>
        </w:tc>
        <w:tc>
          <w:tcPr>
            <w:tcW w:w="423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i w:val="0"/>
                <w:color w:val="000000"/>
                <w:kern w:val="0"/>
                <w:sz w:val="20"/>
                <w:szCs w:val="20"/>
                <w:u w:val="none"/>
                <w:lang w:val="en-US" w:eastAsia="zh-CN" w:bidi="ar"/>
              </w:rPr>
              <w:t>153,210,740.24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exact"/>
          <w:jc w:val="center"/>
        </w:trPr>
        <w:tc>
          <w:tcPr>
            <w:tcW w:w="4837" w:type="dxa"/>
            <w:tcBorders>
              <w:top w:val="nil"/>
              <w:left w:val="single" w:color="000000" w:sz="8" w:space="0"/>
              <w:bottom w:val="single" w:color="000000" w:sz="8"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61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28</w:t>
            </w:r>
          </w:p>
        </w:tc>
        <w:tc>
          <w:tcPr>
            <w:tcW w:w="1844" w:type="dxa"/>
            <w:tcBorders>
              <w:top w:val="nil"/>
              <w:left w:val="nil"/>
              <w:bottom w:val="single" w:color="000000" w:sz="8"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466,692,585.19</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466,692,585.19</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
        <w:gridCol w:w="290"/>
        <w:gridCol w:w="426"/>
        <w:gridCol w:w="3509"/>
        <w:gridCol w:w="1523"/>
        <w:gridCol w:w="1534"/>
        <w:gridCol w:w="1408"/>
        <w:gridCol w:w="992"/>
        <w:gridCol w:w="1016"/>
        <w:gridCol w:w="1465"/>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62" w:type="dxa"/>
            <w:gridSpan w:val="1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58"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0"/>
                <w:szCs w:val="20"/>
              </w:rPr>
              <w:t>公开部门：</w:t>
            </w:r>
            <w:r>
              <w:rPr>
                <w:rFonts w:hint="eastAsia" w:ascii="宋体" w:hAnsi="宋体" w:cs="Arial"/>
                <w:color w:val="000000"/>
                <w:kern w:val="0"/>
                <w:sz w:val="20"/>
                <w:szCs w:val="20"/>
                <w:lang w:eastAsia="zh-CN"/>
              </w:rPr>
              <w:t>中卫市沙坡头区农业农村局（本级）</w:t>
            </w:r>
          </w:p>
        </w:tc>
        <w:tc>
          <w:tcPr>
            <w:tcW w:w="1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8" w:type="dxa"/>
            <w:tcBorders>
              <w:top w:val="nil"/>
              <w:left w:val="nil"/>
              <w:bottom w:val="nil"/>
              <w:right w:val="nil"/>
            </w:tcBorders>
            <w:vAlign w:val="bottom"/>
          </w:tcPr>
          <w:p>
            <w:pPr>
              <w:widowControl/>
              <w:jc w:val="center"/>
              <w:rPr>
                <w:rFonts w:ascii="宋体" w:hAnsi="宋体" w:cs="Arial"/>
                <w:color w:val="000000"/>
                <w:kern w:val="0"/>
                <w:sz w:val="20"/>
                <w:szCs w:val="20"/>
              </w:rPr>
            </w:pPr>
          </w:p>
        </w:tc>
        <w:tc>
          <w:tcPr>
            <w:tcW w:w="9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35"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523"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534"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408"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992"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1016"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1465"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789" w:type="dxa"/>
            <w:vMerge w:val="restart"/>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3509"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23"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534"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408"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016"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46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789"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0" w:type="dxa"/>
            <w:vMerge w:val="restar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tc>
        <w:tc>
          <w:tcPr>
            <w:tcW w:w="290" w:type="dxa"/>
            <w:vMerge w:val="restart"/>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426" w:type="dxa"/>
            <w:vMerge w:val="restart"/>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3509"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523"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34"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0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92"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4</w:t>
            </w:r>
          </w:p>
        </w:tc>
        <w:tc>
          <w:tcPr>
            <w:tcW w:w="101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p>
        </w:tc>
        <w:tc>
          <w:tcPr>
            <w:tcW w:w="146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789"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0" w:type="dxa"/>
            <w:vMerge w:val="continue"/>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90" w:type="dxa"/>
            <w:vMerge w:val="continue"/>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426" w:type="dxa"/>
            <w:vMerge w:val="continue"/>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3509"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443,797,726.82</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366,378,308.61</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eastAsia="宋体" w:cs="宋体"/>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eastAsia="宋体" w:cs="宋体"/>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eastAsia="宋体" w:cs="宋体"/>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eastAsia="宋体" w:cs="宋体"/>
                <w:color w:val="000000"/>
                <w:kern w:val="0"/>
                <w:sz w:val="18"/>
                <w:szCs w:val="18"/>
              </w:rPr>
            </w:pPr>
          </w:p>
        </w:tc>
        <w:tc>
          <w:tcPr>
            <w:tcW w:w="1789" w:type="dxa"/>
            <w:tcBorders>
              <w:top w:val="nil"/>
              <w:left w:val="nil"/>
              <w:bottom w:val="single" w:color="000000" w:sz="4" w:space="0"/>
              <w:right w:val="single" w:color="000000" w:sz="8" w:space="0"/>
            </w:tcBorders>
            <w:vAlign w:val="bottom"/>
          </w:tcPr>
          <w:p>
            <w:pPr>
              <w:widowControl/>
              <w:jc w:val="righ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77,419,418.21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94,000.00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20113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商贸事务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2011308</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招商引资</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20134</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统战事务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2013402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447,455.03</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247,632.27</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199,822.76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民政管理事务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2080299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其他民政管理事务支出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145,693.03</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124,896.27</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20,796.76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2080504</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107,356.32</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107,356.32</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2080506</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32,336.71</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11,539.95</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20,796.76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20807</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就业补助</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295,762.00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116,736.00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179,026.00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2080705</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公益性岗位补贴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295,762.00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116,736.00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179,026.00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49,745.36</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49,745.36</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26,503.88</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26,503.88</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节能环保支出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48,966,921.00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40,872,000.00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8,094,921.00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21104</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自然生态保护</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47,869,400.00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40,872,000.00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2110402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农村环境保护</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47,869,400.00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40,872,000.00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21106</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退耕还林</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2110602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退耕现金</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城乡社区管理事务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2120199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其他城乡社区管理事务支出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17,122,000.00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376,517,361.45</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307,446,687.00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69,070,674.45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313,897,083.45</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244,826,409.00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69,070,674.45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1,574,689.93</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1,196,349.00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378,340.93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238,007.53</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43,007.53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2130106</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科技转化与推广服务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9,694,400.00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9,694,400.00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2130108</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病虫害控制</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5,562,443.00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5,497,313.00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农产品质量安全</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400,393.00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400,393.00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2130110</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执法监管</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农业行业业务管理</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防灾救灾</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7,873,789.00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6,724,280.00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1,149,509.00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2130120</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稳定农民收入补贴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农业结构调整补贴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24,430,000.00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16,700,000.00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7,730,000.00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农业生产支持补贴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65,217,676.99</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11,990,800.00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53,226,876.99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2130124</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农业组织化与产业化经营</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29,920,974.00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23,595,454.00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6,325,520.00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2130125</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农产品加工与促销</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2130126</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农村公益事业</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2130135</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农业资源保护修复与利用</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35,742,000.00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35,742,000.00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其他农业支出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132,104,710.00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131,962,420.00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142,290.00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林业和草原</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65,800.00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65,800.00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2130210</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自然保护区等管理</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19,800.00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19,800.00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2130237</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行业业务管理</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21306</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农业综合开发</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47,510,000.00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47,510,000.00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2130602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土地治理</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46,040,000.00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46,040,000.00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2130603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产业化发展</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2130699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其他农业综合开发支出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1,270,000.00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1,270,000.00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21308</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普惠金融发展支出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3,170,738.00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3,170,738.00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2130803</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农业保险保费补贴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3,170,738.00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3,170,738.00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其他农林水支出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11,873,740.00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11,873,740.00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2139999</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其他农林水支出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11,873,740.00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11,873,740.00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粮油物资储备支出</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22204</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粮油储备</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2220401</w:t>
            </w:r>
          </w:p>
        </w:tc>
        <w:tc>
          <w:tcPr>
            <w:tcW w:w="3509"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储备粮油补贴</w:t>
            </w:r>
          </w:p>
        </w:tc>
        <w:tc>
          <w:tcPr>
            <w:tcW w:w="152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5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445,638.00</w:t>
            </w:r>
          </w:p>
        </w:tc>
        <w:tc>
          <w:tcPr>
            <w:tcW w:w="1408"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992"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016"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465" w:type="dxa"/>
            <w:tcBorders>
              <w:top w:val="nil"/>
              <w:left w:val="nil"/>
              <w:bottom w:val="single" w:color="000000" w:sz="4" w:space="0"/>
              <w:right w:val="single" w:color="000000" w:sz="4" w:space="0"/>
            </w:tcBorders>
            <w:vAlign w:val="bottom"/>
          </w:tcPr>
          <w:p>
            <w:pPr>
              <w:widowControl/>
              <w:jc w:val="right"/>
              <w:rPr>
                <w:rFonts w:hint="eastAsia" w:ascii="宋体" w:hAnsi="宋体" w:cs="Arial"/>
                <w:color w:val="000000"/>
                <w:kern w:val="0"/>
                <w:sz w:val="18"/>
                <w:szCs w:val="18"/>
              </w:rPr>
            </w:pPr>
          </w:p>
        </w:tc>
        <w:tc>
          <w:tcPr>
            <w:tcW w:w="1789"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0.00</w:t>
            </w:r>
          </w:p>
        </w:tc>
      </w:tr>
    </w:tbl>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381"/>
        <w:gridCol w:w="438"/>
        <w:gridCol w:w="3923"/>
        <w:gridCol w:w="1558"/>
        <w:gridCol w:w="1419"/>
        <w:gridCol w:w="1489"/>
        <w:gridCol w:w="1142"/>
        <w:gridCol w:w="1108"/>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4082" w:type="dxa"/>
            <w:gridSpan w:val="10"/>
            <w:tcBorders>
              <w:tl2br w:val="nil"/>
              <w:tr2bl w:val="nil"/>
            </w:tcBorders>
            <w:vAlign w:val="bottom"/>
          </w:tcPr>
          <w:p>
            <w:pPr>
              <w:widowControl/>
              <w:jc w:val="center"/>
              <w:rPr>
                <w:rFonts w:hint="eastAsia" w:ascii="方正小标宋_GBK" w:hAnsi="方正小标宋_GBK" w:eastAsia="方正小标宋_GBK" w:cs="方正小标宋_GBK"/>
                <w:b w:val="0"/>
                <w:bCs w:val="0"/>
                <w:color w:val="000000"/>
                <w:kern w:val="0"/>
                <w:sz w:val="44"/>
                <w:szCs w:val="44"/>
              </w:rPr>
            </w:pPr>
          </w:p>
          <w:p>
            <w:pPr>
              <w:widowControl/>
              <w:jc w:val="center"/>
              <w:rPr>
                <w:rFonts w:hint="eastAsia" w:ascii="方正小标宋_GBK" w:hAnsi="方正小标宋_GBK" w:eastAsia="方正小标宋_GBK" w:cs="方正小标宋_GBK"/>
                <w:b w:val="0"/>
                <w:bCs w:val="0"/>
                <w:color w:val="000000"/>
                <w:kern w:val="0"/>
                <w:sz w:val="44"/>
                <w:szCs w:val="44"/>
              </w:rPr>
            </w:pPr>
          </w:p>
          <w:p>
            <w:pPr>
              <w:pStyle w:val="2"/>
              <w:rPr>
                <w:rFonts w:hint="eastAsia" w:ascii="方正小标宋_GBK" w:hAnsi="方正小标宋_GBK" w:eastAsia="方正小标宋_GBK" w:cs="方正小标宋_GBK"/>
                <w:b w:val="0"/>
                <w:bCs w:val="0"/>
                <w:color w:val="000000"/>
                <w:kern w:val="0"/>
                <w:sz w:val="44"/>
                <w:szCs w:val="44"/>
              </w:rPr>
            </w:pPr>
          </w:p>
          <w:p>
            <w:pPr>
              <w:rPr>
                <w:rFonts w:hint="eastAsia"/>
              </w:rPr>
            </w:pPr>
          </w:p>
          <w:p>
            <w:pPr>
              <w:widowControl/>
              <w:jc w:val="center"/>
              <w:rPr>
                <w:rFonts w:hint="eastAsia" w:ascii="方正小标宋_GBK" w:hAnsi="方正小标宋_GBK" w:eastAsia="方正小标宋_GBK" w:cs="方正小标宋_GBK"/>
                <w:b w:val="0"/>
                <w:bCs w:val="0"/>
                <w:color w:val="000000"/>
                <w:kern w:val="0"/>
                <w:sz w:val="44"/>
                <w:szCs w:val="44"/>
              </w:rPr>
            </w:pPr>
          </w:p>
          <w:p>
            <w:pPr>
              <w:widowControl/>
              <w:jc w:val="center"/>
              <w:rPr>
                <w:rFonts w:hint="eastAsia" w:ascii="方正小标宋_GBK" w:hAnsi="方正小标宋_GBK" w:eastAsia="方正小标宋_GBK" w:cs="方正小标宋_GBK"/>
                <w:b w:val="0"/>
                <w:bCs w:val="0"/>
                <w:color w:val="000000"/>
                <w:kern w:val="0"/>
                <w:sz w:val="44"/>
                <w:szCs w:val="44"/>
              </w:rPr>
            </w:pPr>
          </w:p>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dxa"/>
            <w:tcBorders>
              <w:tl2br w:val="nil"/>
              <w:tr2bl w:val="nil"/>
            </w:tcBorders>
            <w:vAlign w:val="bottom"/>
          </w:tcPr>
          <w:p>
            <w:pPr>
              <w:widowControl/>
              <w:jc w:val="left"/>
              <w:rPr>
                <w:rFonts w:ascii="Arial" w:hAnsi="Arial" w:cs="Arial"/>
                <w:color w:val="000000"/>
                <w:kern w:val="0"/>
                <w:sz w:val="20"/>
                <w:szCs w:val="20"/>
              </w:rPr>
            </w:pPr>
          </w:p>
        </w:tc>
        <w:tc>
          <w:tcPr>
            <w:tcW w:w="381" w:type="dxa"/>
            <w:tcBorders>
              <w:tl2br w:val="nil"/>
              <w:tr2bl w:val="nil"/>
            </w:tcBorders>
            <w:vAlign w:val="bottom"/>
          </w:tcPr>
          <w:p>
            <w:pPr>
              <w:widowControl/>
              <w:jc w:val="left"/>
              <w:rPr>
                <w:rFonts w:ascii="Arial" w:hAnsi="Arial" w:cs="Arial"/>
                <w:color w:val="000000"/>
                <w:kern w:val="0"/>
                <w:sz w:val="20"/>
                <w:szCs w:val="20"/>
              </w:rPr>
            </w:pPr>
          </w:p>
        </w:tc>
        <w:tc>
          <w:tcPr>
            <w:tcW w:w="438" w:type="dxa"/>
            <w:tcBorders>
              <w:tl2br w:val="nil"/>
              <w:tr2bl w:val="nil"/>
            </w:tcBorders>
            <w:vAlign w:val="bottom"/>
          </w:tcPr>
          <w:p>
            <w:pPr>
              <w:widowControl/>
              <w:jc w:val="left"/>
              <w:rPr>
                <w:rFonts w:ascii="Arial" w:hAnsi="Arial" w:cs="Arial"/>
                <w:color w:val="000000"/>
                <w:kern w:val="0"/>
                <w:sz w:val="20"/>
                <w:szCs w:val="20"/>
              </w:rPr>
            </w:pPr>
          </w:p>
        </w:tc>
        <w:tc>
          <w:tcPr>
            <w:tcW w:w="3923" w:type="dxa"/>
            <w:tcBorders>
              <w:tl2br w:val="nil"/>
              <w:tr2bl w:val="nil"/>
            </w:tcBorders>
            <w:vAlign w:val="bottom"/>
          </w:tcPr>
          <w:p>
            <w:pPr>
              <w:widowControl/>
              <w:jc w:val="left"/>
              <w:rPr>
                <w:rFonts w:ascii="Arial" w:hAnsi="Arial" w:cs="Arial"/>
                <w:color w:val="000000"/>
                <w:kern w:val="0"/>
                <w:sz w:val="20"/>
                <w:szCs w:val="20"/>
              </w:rPr>
            </w:pPr>
          </w:p>
        </w:tc>
        <w:tc>
          <w:tcPr>
            <w:tcW w:w="1558" w:type="dxa"/>
            <w:tcBorders>
              <w:tl2br w:val="nil"/>
              <w:tr2bl w:val="nil"/>
            </w:tcBorders>
            <w:vAlign w:val="bottom"/>
          </w:tcPr>
          <w:p>
            <w:pPr>
              <w:widowControl/>
              <w:jc w:val="left"/>
              <w:rPr>
                <w:rFonts w:ascii="Arial" w:hAnsi="Arial" w:cs="Arial"/>
                <w:color w:val="000000"/>
                <w:kern w:val="0"/>
                <w:sz w:val="20"/>
                <w:szCs w:val="20"/>
              </w:rPr>
            </w:pPr>
          </w:p>
        </w:tc>
        <w:tc>
          <w:tcPr>
            <w:tcW w:w="1419" w:type="dxa"/>
            <w:tcBorders>
              <w:tl2br w:val="nil"/>
              <w:tr2bl w:val="nil"/>
            </w:tcBorders>
            <w:vAlign w:val="bottom"/>
          </w:tcPr>
          <w:p>
            <w:pPr>
              <w:widowControl/>
              <w:jc w:val="left"/>
              <w:rPr>
                <w:rFonts w:ascii="Arial" w:hAnsi="Arial" w:cs="Arial"/>
                <w:color w:val="000000"/>
                <w:kern w:val="0"/>
                <w:sz w:val="20"/>
                <w:szCs w:val="20"/>
              </w:rPr>
            </w:pPr>
          </w:p>
        </w:tc>
        <w:tc>
          <w:tcPr>
            <w:tcW w:w="1489" w:type="dxa"/>
            <w:tcBorders>
              <w:tl2br w:val="nil"/>
              <w:tr2bl w:val="nil"/>
            </w:tcBorders>
            <w:vAlign w:val="bottom"/>
          </w:tcPr>
          <w:p>
            <w:pPr>
              <w:widowControl/>
              <w:jc w:val="left"/>
              <w:rPr>
                <w:rFonts w:ascii="Arial" w:hAnsi="Arial" w:cs="Arial"/>
                <w:color w:val="000000"/>
                <w:kern w:val="0"/>
                <w:sz w:val="20"/>
                <w:szCs w:val="20"/>
              </w:rPr>
            </w:pPr>
          </w:p>
        </w:tc>
        <w:tc>
          <w:tcPr>
            <w:tcW w:w="1142" w:type="dxa"/>
            <w:tcBorders>
              <w:tl2br w:val="nil"/>
              <w:tr2bl w:val="nil"/>
            </w:tcBorders>
            <w:vAlign w:val="bottom"/>
          </w:tcPr>
          <w:p>
            <w:pPr>
              <w:widowControl/>
              <w:jc w:val="left"/>
              <w:rPr>
                <w:rFonts w:ascii="Arial" w:hAnsi="Arial" w:cs="Arial"/>
                <w:color w:val="000000"/>
                <w:kern w:val="0"/>
                <w:sz w:val="20"/>
                <w:szCs w:val="20"/>
              </w:rPr>
            </w:pPr>
          </w:p>
        </w:tc>
        <w:tc>
          <w:tcPr>
            <w:tcW w:w="1108" w:type="dxa"/>
            <w:tcBorders>
              <w:tl2br w:val="nil"/>
              <w:tr2bl w:val="nil"/>
            </w:tcBorders>
            <w:vAlign w:val="bottom"/>
          </w:tcPr>
          <w:p>
            <w:pPr>
              <w:widowControl/>
              <w:jc w:val="left"/>
              <w:rPr>
                <w:rFonts w:ascii="Arial" w:hAnsi="Arial" w:cs="Arial"/>
                <w:color w:val="000000"/>
                <w:kern w:val="0"/>
                <w:sz w:val="20"/>
                <w:szCs w:val="20"/>
              </w:rPr>
            </w:pPr>
          </w:p>
        </w:tc>
        <w:tc>
          <w:tcPr>
            <w:tcW w:w="2249" w:type="dxa"/>
            <w:tcBorders>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17" w:type="dxa"/>
            <w:gridSpan w:val="4"/>
            <w:tcBorders>
              <w:bottom w:val="single" w:color="000000" w:sz="4" w:space="0"/>
              <w:tl2br w:val="nil"/>
              <w:tr2bl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1"/>
                <w:szCs w:val="21"/>
                <w:lang w:eastAsia="zh-CN"/>
              </w:rPr>
              <w:t>中卫市沙坡头区农业农村局（本级）</w:t>
            </w:r>
          </w:p>
        </w:tc>
        <w:tc>
          <w:tcPr>
            <w:tcW w:w="1558"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419" w:type="dxa"/>
            <w:tcBorders>
              <w:bottom w:val="single" w:color="000000" w:sz="4" w:space="0"/>
              <w:tl2br w:val="nil"/>
              <w:tr2bl w:val="nil"/>
            </w:tcBorders>
            <w:vAlign w:val="bottom"/>
          </w:tcPr>
          <w:p>
            <w:pPr>
              <w:widowControl/>
              <w:jc w:val="center"/>
              <w:rPr>
                <w:rFonts w:ascii="宋体" w:hAnsi="宋体" w:cs="Arial"/>
                <w:color w:val="000000"/>
                <w:kern w:val="0"/>
                <w:sz w:val="24"/>
              </w:rPr>
            </w:pPr>
          </w:p>
        </w:tc>
        <w:tc>
          <w:tcPr>
            <w:tcW w:w="1489"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142"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108"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2249" w:type="dxa"/>
            <w:tcBorders>
              <w:bottom w:val="single" w:color="000000" w:sz="4" w:space="0"/>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55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41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48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1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1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22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4"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92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1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2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8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43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313,481,844.95</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1,546,562.86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311,935,282.09</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44,936.07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44,936.07</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40,269.57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40,269.57</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40,269.57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40,269.57</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20113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商贸事务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4,666.50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4,666.50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2011308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招商引资</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4,666.50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4,666.50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公共安全支出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司法</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2040612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法制建设</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科学技术支出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20604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技术研究与开发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2060499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其他技术研究与开发支出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315,240.00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480,574.93</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145,693.03</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334,881.90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民政管理事务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2080299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其他民政管理事务支出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145,693.03</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145,693.03</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107,356.32</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107,356.32</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32,336.71</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32,336.71</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20807</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就业补助</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328,881.90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328,881.90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2080705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公益性岗位补贴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328,881.90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328,881.90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76,249.24</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49,745.36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49,745.36</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26,503.88</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26,503.88</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节能环保支出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46,600,759.00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46,600,759.00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自然生态保护</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45,463,260.00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45,463,260.00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2110402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农村环境保护</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45,463,260.00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45,463,260.00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退耕还林</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1,137,499.00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1,137,499.00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2110602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退耕现金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1,097,521.00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2110699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其他退耕还林支出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39,978.00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39,978.00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城乡社区管理事务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2120199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其他城乡社区管理事务支出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15,090,000.00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250,279,540.61</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1,196,518.49</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249,083,022.12</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232,190,938.89</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1,196,518.49</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230,994,420.40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1,196,518.49</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1,196,518.49</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213,652.44</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213,652.44</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科技转化与推广服务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4,992,229.26</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4,992,229.26</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病虫害控制</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4,992,050.00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4,992,050.00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2130109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农产品质量安全</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91,052.00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91,052.00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2130110</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执法监管</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148,000.00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148,000.00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农业行业业务管理</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2130119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防灾救灾</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3,299,209.00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3,299,209.00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2130120</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稳定农民收入补贴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农业结构调整补贴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17,259,600.00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17,259,600.00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农业生产支持补贴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65,579,066.10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65,579,066.10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农业组织化与产业化经营</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28,707,287.00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28,707,287.00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农产品加工与促销</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农村公益事业</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2130135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农业资源保护修复与利用</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30,993,816.63</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30,993,816.63</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其他农业支出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73,938,457.97</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73,938,457.97</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林业和草原</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2,587,705.72</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2,587,705.72</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2130205</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森林培育</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1,928,560.00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1,928,560.00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2130210</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自然保护区等管理</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19,800.00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19,800.00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2130221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产业化管理</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529,477.72</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529,477.72</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2130223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信息管理</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63,868.00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63,868.00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2130237</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行业业务管理</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46,000.00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46,000.00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水利</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2130316</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农田水利</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21308</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普惠金融发展支出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3,177,836.00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3,177,836.00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2130803</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农业保险保费补贴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3,177,836.00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3,177,836.00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其他农林水支出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12,319,740.00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12,319,740.00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2139999</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其他农林水支出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12,319,740.00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12,319,740.00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128,102.10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粮油物资储备支出</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22204</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粮油储备</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9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2220401</w:t>
            </w:r>
          </w:p>
        </w:tc>
        <w:tc>
          <w:tcPr>
            <w:tcW w:w="392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储备粮油补贴</w:t>
            </w:r>
          </w:p>
        </w:tc>
        <w:tc>
          <w:tcPr>
            <w:tcW w:w="155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445,683.00</w:t>
            </w:r>
          </w:p>
        </w:tc>
        <w:tc>
          <w:tcPr>
            <w:tcW w:w="114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82" w:type="dxa"/>
            <w:gridSpan w:val="10"/>
            <w:tcBorders>
              <w:tl2br w:val="nil"/>
              <w:tr2bl w:val="nil"/>
            </w:tcBorders>
            <w:vAlign w:val="bottom"/>
          </w:tcPr>
          <w:p>
            <w:pPr>
              <w:widowControl/>
              <w:jc w:val="left"/>
              <w:rPr>
                <w:rFonts w:hint="eastAsia" w:ascii="宋体" w:hAnsi="宋体" w:cs="Arial"/>
                <w:color w:val="000000"/>
                <w:kern w:val="0"/>
                <w:sz w:val="22"/>
                <w:szCs w:val="22"/>
              </w:rPr>
            </w:pPr>
          </w:p>
        </w:tc>
      </w:tr>
    </w:tbl>
    <w:p>
      <w:pPr>
        <w:spacing w:line="58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80" w:lineRule="exact"/>
        <w:rPr>
          <w:rFonts w:hint="eastAsia"/>
        </w:rPr>
      </w:pPr>
    </w:p>
    <w:p>
      <w:pPr>
        <w:pStyle w:val="2"/>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vAlign w:val="bottom"/>
          </w:tcPr>
          <w:p>
            <w:pPr>
              <w:widowControl/>
              <w:jc w:val="center"/>
              <w:rPr>
                <w:rFonts w:hint="eastAsia" w:ascii="方正小标宋_GBK" w:hAnsi="方正小标宋_GBK" w:eastAsia="方正小标宋_GBK" w:cs="方正小标宋_GBK"/>
                <w:b w:val="0"/>
                <w:bCs w:val="0"/>
                <w:color w:val="000000"/>
                <w:kern w:val="0"/>
                <w:sz w:val="36"/>
                <w:szCs w:val="36"/>
              </w:rPr>
            </w:pPr>
          </w:p>
          <w:p>
            <w:pPr>
              <w:widowControl/>
              <w:jc w:val="center"/>
              <w:rPr>
                <w:rFonts w:hint="eastAsia" w:ascii="方正小标宋_GBK" w:hAnsi="方正小标宋_GBK" w:eastAsia="方正小标宋_GBK" w:cs="方正小标宋_GBK"/>
                <w:b w:val="0"/>
                <w:bCs w:val="0"/>
                <w:color w:val="000000"/>
                <w:kern w:val="0"/>
                <w:sz w:val="36"/>
                <w:szCs w:val="36"/>
              </w:rPr>
            </w:pPr>
          </w:p>
          <w:p>
            <w:pPr>
              <w:pStyle w:val="2"/>
              <w:rPr>
                <w:rFonts w:hint="eastAsia" w:ascii="方正小标宋_GBK" w:hAnsi="方正小标宋_GBK" w:eastAsia="方正小标宋_GBK" w:cs="方正小标宋_GBK"/>
                <w:b w:val="0"/>
                <w:bCs w:val="0"/>
                <w:color w:val="000000"/>
                <w:kern w:val="0"/>
                <w:sz w:val="36"/>
                <w:szCs w:val="36"/>
              </w:rPr>
            </w:pPr>
          </w:p>
          <w:p>
            <w:pPr>
              <w:rPr>
                <w:rFonts w:hint="eastAsia" w:ascii="方正小标宋_GBK" w:hAnsi="方正小标宋_GBK" w:eastAsia="方正小标宋_GBK" w:cs="方正小标宋_GBK"/>
                <w:b w:val="0"/>
                <w:bCs w:val="0"/>
                <w:color w:val="000000"/>
                <w:kern w:val="0"/>
                <w:sz w:val="36"/>
                <w:szCs w:val="36"/>
              </w:rPr>
            </w:pPr>
          </w:p>
          <w:p>
            <w:pPr>
              <w:pStyle w:val="2"/>
              <w:rPr>
                <w:rFonts w:hint="eastAsia"/>
              </w:rPr>
            </w:pPr>
          </w:p>
          <w:p>
            <w:pPr>
              <w:widowControl/>
              <w:jc w:val="center"/>
              <w:rPr>
                <w:rFonts w:hint="eastAsia" w:ascii="方正小标宋_GBK" w:hAnsi="方正小标宋_GBK" w:eastAsia="方正小标宋_GBK" w:cs="方正小标宋_GBK"/>
                <w:b w:val="0"/>
                <w:bCs w:val="0"/>
                <w:color w:val="000000"/>
                <w:kern w:val="0"/>
                <w:sz w:val="36"/>
                <w:szCs w:val="36"/>
              </w:rPr>
            </w:pPr>
          </w:p>
          <w:p>
            <w:pPr>
              <w:widowControl/>
              <w:jc w:val="center"/>
              <w:rPr>
                <w:rFonts w:ascii="宋体" w:hAnsi="宋体" w:cs="Arial"/>
                <w:color w:val="000000"/>
                <w:kern w:val="0"/>
                <w:sz w:val="40"/>
                <w:szCs w:val="40"/>
              </w:rPr>
            </w:pPr>
            <w:r>
              <w:rPr>
                <w:rFonts w:hint="eastAsia" w:ascii="方正小标宋_GBK" w:hAnsi="方正小标宋_GBK" w:eastAsia="方正小标宋_GBK" w:cs="方正小标宋_GBK"/>
                <w:b w:val="0"/>
                <w:bCs w:val="0"/>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0"/>
                <w:szCs w:val="20"/>
                <w:lang w:eastAsia="zh-CN"/>
              </w:rPr>
              <w:t>中卫市沙坡头区农业农村局（本级）</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366,378,308.61</w:t>
            </w: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277,085.46</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277,085.46</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44,111,838.00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44,111,838.00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185,855,580.45</w:t>
            </w:r>
          </w:p>
        </w:tc>
        <w:tc>
          <w:tcPr>
            <w:tcW w:w="2112"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185,855,580.45</w:t>
            </w: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0"/>
                <w:szCs w:val="20"/>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2112" w:type="dxa"/>
            <w:gridSpan w:val="3"/>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0"/>
                <w:szCs w:val="20"/>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2112" w:type="dxa"/>
            <w:gridSpan w:val="3"/>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229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366,378,308.61</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246,360,807.82</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246,360,807.82</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15,331,031.65</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135,348,532.44</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135,348,532.44</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15,331,031.65</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color w:val="000000"/>
                <w:kern w:val="2"/>
                <w:sz w:val="20"/>
                <w:szCs w:val="20"/>
                <w:u w:val="none"/>
                <w:lang w:val="en-US" w:eastAsia="zh-CN" w:bidi="ar-SA"/>
              </w:rPr>
            </w:pPr>
          </w:p>
        </w:tc>
        <w:tc>
          <w:tcPr>
            <w:tcW w:w="2112" w:type="dxa"/>
            <w:gridSpan w:val="3"/>
            <w:tcBorders>
              <w:top w:val="nil"/>
              <w:left w:val="nil"/>
              <w:bottom w:val="single" w:color="000000" w:sz="4" w:space="0"/>
              <w:right w:val="single" w:color="000000" w:sz="4" w:space="0"/>
            </w:tcBorders>
            <w:vAlign w:val="center"/>
          </w:tcPr>
          <w:p>
            <w:pPr>
              <w:jc w:val="right"/>
              <w:rPr>
                <w:rFonts w:hint="eastAsia" w:ascii="宋体" w:hAnsi="宋体" w:eastAsia="宋体" w:cs="宋体"/>
                <w:i w:val="0"/>
                <w:color w:val="000000"/>
                <w:kern w:val="2"/>
                <w:sz w:val="20"/>
                <w:szCs w:val="20"/>
                <w:u w:val="none"/>
                <w:lang w:val="en-US" w:eastAsia="zh-CN" w:bidi="ar-SA"/>
              </w:rPr>
            </w:pP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0.00</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vAlign w:val="center"/>
          </w:tcPr>
          <w:p>
            <w:pPr>
              <w:jc w:val="right"/>
              <w:rPr>
                <w:rFonts w:hint="eastAsia" w:ascii="宋体" w:hAnsi="宋体" w:eastAsia="宋体" w:cs="宋体"/>
                <w:i w:val="0"/>
                <w:color w:val="000000"/>
                <w:kern w:val="2"/>
                <w:sz w:val="20"/>
                <w:szCs w:val="20"/>
                <w:u w:val="none"/>
                <w:lang w:val="en-US" w:eastAsia="zh-CN" w:bidi="ar-SA"/>
              </w:rPr>
            </w:pPr>
          </w:p>
        </w:tc>
        <w:tc>
          <w:tcPr>
            <w:tcW w:w="2112" w:type="dxa"/>
            <w:gridSpan w:val="3"/>
            <w:tcBorders>
              <w:top w:val="nil"/>
              <w:left w:val="nil"/>
              <w:bottom w:val="single" w:color="auto" w:sz="4" w:space="0"/>
              <w:right w:val="single" w:color="000000" w:sz="4" w:space="0"/>
            </w:tcBorders>
            <w:vAlign w:val="center"/>
          </w:tcPr>
          <w:p>
            <w:pPr>
              <w:jc w:val="right"/>
              <w:rPr>
                <w:rFonts w:hint="eastAsia" w:ascii="宋体" w:hAnsi="宋体" w:eastAsia="宋体" w:cs="宋体"/>
                <w:i w:val="0"/>
                <w:color w:val="000000"/>
                <w:kern w:val="2"/>
                <w:sz w:val="20"/>
                <w:szCs w:val="20"/>
                <w:u w:val="none"/>
                <w:lang w:val="en-US" w:eastAsia="zh-CN" w:bidi="ar-SA"/>
              </w:rPr>
            </w:pP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381,709,340.26</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381,709,340.26</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381,709,340.26</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1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
        <w:gridCol w:w="426"/>
        <w:gridCol w:w="416"/>
        <w:gridCol w:w="3750"/>
        <w:gridCol w:w="1936"/>
        <w:gridCol w:w="2285"/>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11147"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937"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1"/>
                <w:szCs w:val="21"/>
                <w:lang w:eastAsia="zh-CN"/>
              </w:rPr>
              <w:t>中卫市沙坡头区农业农村局（本级）</w:t>
            </w:r>
          </w:p>
        </w:tc>
        <w:tc>
          <w:tcPr>
            <w:tcW w:w="19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85" w:type="dxa"/>
            <w:tcBorders>
              <w:top w:val="nil"/>
              <w:left w:val="nil"/>
              <w:bottom w:val="nil"/>
              <w:right w:val="nil"/>
            </w:tcBorders>
            <w:vAlign w:val="bottom"/>
          </w:tcPr>
          <w:p>
            <w:pPr>
              <w:widowControl/>
              <w:jc w:val="center"/>
              <w:rPr>
                <w:rFonts w:ascii="宋体" w:hAnsi="宋体" w:cs="Arial"/>
                <w:color w:val="000000"/>
                <w:kern w:val="0"/>
                <w:sz w:val="24"/>
              </w:rPr>
            </w:pPr>
          </w:p>
        </w:tc>
        <w:tc>
          <w:tcPr>
            <w:tcW w:w="198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937"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3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8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98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87"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5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8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4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2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1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98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4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246,360,807.82</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1,525,596.61</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244,835,211.21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一般公共服务支出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20103</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2010399</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40,269.57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204</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公共安全支出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20406</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司法</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2040612</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法制建设</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206</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科学技术支出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20604</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技术研究与开发</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2060499</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其他技术研究与开发支出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315,240.00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277,085.46</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124,896.27</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152,189.19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20802</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民政管理事务</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2080299</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其他民政管理事务支出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行政事业单位离退休</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124,896.27</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124,896.27</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2080504</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2080505</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107,356.32</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107,356.32</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2080506</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11,539.95</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11,539.95</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20807</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就业补助</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146,189.19</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146,189.19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2080705</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公益性岗位补贴</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146,189.19</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146,189.19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76,249.24</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2101101</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行政单位医疗</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49,745.36</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49,745.36</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2101103</w:t>
            </w:r>
          </w:p>
        </w:tc>
        <w:tc>
          <w:tcPr>
            <w:tcW w:w="375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9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26,503.88</w:t>
            </w:r>
          </w:p>
        </w:tc>
        <w:tc>
          <w:tcPr>
            <w:tcW w:w="22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26,503.88</w:t>
            </w:r>
          </w:p>
        </w:tc>
        <w:tc>
          <w:tcPr>
            <w:tcW w:w="198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节能环保支出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44,111,838.00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44,111,838.00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21104</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自然生态保护</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44,071,860.00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44,071,860.00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2110402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农村环境保护</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44,071,860.00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44,071,860.00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21106</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退耕还林</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39,978.00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2110699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其他退耕还林支出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39,978.00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21108</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退牧还草</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2110804</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退牧还草工程建设</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城乡社区支出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城乡社区管理事务</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其他城乡社区管理事务支出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15,090,000.00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185,855,580.45</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1,196,349.00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184,659,231.45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农业</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167,766,978.73</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1,196,349.00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166,570,629.73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2130101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1,196,349.00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1,196,349.00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2130102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197,181.55</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197,181.55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2130106</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3,992,229.26</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3,992,229.26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2130108</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病虫害控制</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4,992,050.00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4,992,050.00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2130109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农产品质量安全</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91,052.00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91,052.00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2130110</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执法监管</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148,000.00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2130112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农业行业业务管理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2130119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防灾救灾</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2,149,700.00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2,149,700.00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2130120</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稳定农民收入补贴</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2130121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农业结构调整补贴</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16,700,000.00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2130122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农业生产支持补贴</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12,493,990.00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12,493,990.00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2130124</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农业组织化与产业化经营</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21,602,416.95</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21,602,416.95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2130126</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农村公益事业</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340,000.00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2130135</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农业资源保护修复与利用</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30,896,336.00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30,896,336.00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2130199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其他农业支出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72,537,673.97</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72,537,673.97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林业和草原</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2,587,705.72</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2,587,705.72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2130205</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森林培育</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1,928,560.00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1,928,560.00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2130210</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自然保护区等管理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19,800.00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2130221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产业化管理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529,477.72</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529,477.72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2130223</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信息管理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63,868.00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63,868.00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2130237</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行业业务管理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46,000.00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21303</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水利</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3,320.00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2130316</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农田水利</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3,320.00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21306</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农业综合开发</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2130602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土地治理</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2130603</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产业化发展</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2130699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其他农业综合开发支出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21308</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普惠金融发展支出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3,177,836.00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3,177,836.00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2130803</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农业保险保费补贴</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3,177,836.00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3,177,836.00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其他农林水支出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12,319,740.00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12,319,740.00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2139999</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其他农林水支出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12,319,740.00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12,319,740.00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住房改革支出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2210201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住房公积金</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128,102.10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222</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粮油物资储备支出</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22204</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粮油储备</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8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2220401</w:t>
            </w:r>
          </w:p>
        </w:tc>
        <w:tc>
          <w:tcPr>
            <w:tcW w:w="375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储备粮油补贴</w:t>
            </w:r>
          </w:p>
        </w:tc>
        <w:tc>
          <w:tcPr>
            <w:tcW w:w="19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c>
          <w:tcPr>
            <w:tcW w:w="22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98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445,683.00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147"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32"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hint="eastAsia" w:ascii="宋体" w:hAnsi="宋体" w:cs="Arial"/>
                <w:b/>
                <w:bCs/>
                <w:color w:val="000000"/>
                <w:kern w:val="0"/>
                <w:sz w:val="36"/>
                <w:szCs w:val="36"/>
              </w:rPr>
            </w:pPr>
          </w:p>
          <w:p>
            <w:pPr>
              <w:widowControl/>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rPr>
              <w:t>公开</w:t>
            </w:r>
            <w:r>
              <w:rPr>
                <w:rFonts w:hint="default" w:ascii="Arial" w:hAnsi="Arial" w:eastAsia="宋体" w:cs="Arial"/>
                <w:i w:val="0"/>
                <w:color w:val="000000"/>
                <w:kern w:val="0"/>
                <w:sz w:val="21"/>
                <w:szCs w:val="21"/>
                <w:u w:val="none"/>
                <w:lang w:val="en-US" w:eastAsia="zh-CN"/>
              </w:rPr>
              <w:t>部门：</w:t>
            </w:r>
            <w:r>
              <w:rPr>
                <w:rFonts w:hint="eastAsia" w:ascii="宋体" w:hAnsi="宋体" w:cs="Arial"/>
                <w:color w:val="000000"/>
                <w:kern w:val="0"/>
                <w:sz w:val="21"/>
                <w:szCs w:val="21"/>
                <w:lang w:eastAsia="zh-CN"/>
              </w:rPr>
              <w:t>中卫市沙坡头区农业农村局（本级）</w:t>
            </w:r>
          </w:p>
        </w:tc>
        <w:tc>
          <w:tcPr>
            <w:tcW w:w="7890" w:type="dxa"/>
            <w:gridSpan w:val="6"/>
            <w:tcBorders>
              <w:top w:val="nil"/>
              <w:left w:val="nil"/>
              <w:bottom w:val="nil"/>
              <w:right w:val="nil"/>
            </w:tcBorders>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金额单位：元</w:t>
            </w:r>
            <w:r>
              <w:rPr>
                <w:rFonts w:hint="eastAsia" w:ascii="宋体" w:hAnsi="宋体" w:eastAsia="宋体" w:cs="宋体"/>
                <w:i w:val="0"/>
                <w:vanish/>
                <w:color w:val="000000"/>
                <w:kern w:val="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Arial" w:hAnsi="Arial" w:eastAsia="宋体" w:cs="Arial"/>
                <w:i w:val="0"/>
                <w:color w:val="000000"/>
                <w:sz w:val="16"/>
                <w:szCs w:val="16"/>
                <w:u w:val="none"/>
                <w:lang w:eastAsia="zh-CN"/>
              </w:rPr>
            </w:pPr>
            <w:r>
              <w:rPr>
                <w:rFonts w:hint="eastAsia" w:ascii="Arial" w:hAnsi="Arial" w:eastAsia="宋体" w:cs="Arial"/>
                <w:i w:val="0"/>
                <w:color w:val="000000"/>
                <w:sz w:val="16"/>
                <w:szCs w:val="16"/>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1,372,873.18</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146,723.43</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664,402.65</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15,520.60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160,801.00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209,202.00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1,632.39</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112,461.10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11,973.89</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13,708.55</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6,136.25</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52,163.72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6,600.00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26,503.88</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5,528.18</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20,093.30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128,102.10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4,500.00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 xml:space="preserve">  </w:t>
            </w:r>
            <w:r>
              <w:rPr>
                <w:rFonts w:hint="eastAsia" w:ascii="宋体" w:hAnsi="宋体" w:eastAsia="宋体" w:cs="宋体"/>
                <w:i w:val="0"/>
                <w:color w:val="000000"/>
                <w:sz w:val="16"/>
                <w:szCs w:val="16"/>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78,667.00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1,600.00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6"/>
                <w:szCs w:val="16"/>
                <w:u w:val="none"/>
                <w:lang w:val="en-US" w:eastAsia="zh-CN" w:bidi="ar-SA"/>
              </w:rPr>
            </w:pPr>
            <w:r>
              <w:rPr>
                <w:rFonts w:hint="eastAsia" w:ascii="宋体" w:hAnsi="宋体" w:cs="宋体"/>
                <w:i w:val="0"/>
                <w:color w:val="000000"/>
                <w:kern w:val="2"/>
                <w:sz w:val="16"/>
                <w:szCs w:val="16"/>
                <w:u w:val="none"/>
                <w:lang w:val="en-US" w:eastAsia="zh-CN" w:bidi="ar-SA"/>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1,378,873.18</w:t>
            </w:r>
          </w:p>
        </w:tc>
        <w:tc>
          <w:tcPr>
            <w:tcW w:w="8280" w:type="dxa"/>
            <w:gridSpan w:val="7"/>
            <w:tcBorders>
              <w:top w:val="single" w:color="auto" w:sz="4" w:space="0"/>
              <w:left w:val="single" w:color="auto" w:sz="4" w:space="0"/>
              <w:bottom w:val="single" w:color="auto" w:sz="4" w:space="0"/>
              <w:right w:val="single" w:color="auto" w:sz="4" w:space="0"/>
            </w:tcBorders>
            <w:vAlign w:val="top"/>
          </w:tcPr>
          <w:p>
            <w:pPr>
              <w:widowControl/>
              <w:jc w:val="both"/>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righ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146,723.43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default" w:ascii="宋体" w:hAnsi="宋体" w:eastAsia="宋体" w:cs="宋体"/>
                <w:b/>
                <w:bCs/>
                <w:i w:val="0"/>
                <w:color w:val="000000"/>
                <w:kern w:val="0"/>
                <w:sz w:val="16"/>
                <w:szCs w:val="16"/>
                <w:u w:val="none"/>
                <w:lang w:val="en-US" w:eastAsia="zh-CN" w:bidi="ar"/>
              </w:rPr>
              <w:t>1,525,596.61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pPr>
              <w:widowControl w:val="0"/>
              <w:wordWrap/>
              <w:adjustRightInd/>
              <w:snapToGrid/>
              <w:spacing w:line="400" w:lineRule="exact"/>
              <w:ind w:left="0" w:leftChars="0" w:right="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eastAsia="宋体" w:cs="Arial"/>
                <w:sz w:val="15"/>
                <w:szCs w:val="15"/>
                <w:lang w:eastAsia="zh-CN"/>
              </w:rPr>
            </w:pPr>
          </w:p>
        </w:tc>
      </w:tr>
    </w:tbl>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tabs>
          <w:tab w:val="left" w:pos="1237"/>
        </w:tabs>
        <w:jc w:val="left"/>
        <w:rPr>
          <w:rFonts w:hint="eastAsia" w:cs="黑体"/>
          <w:kern w:val="2"/>
          <w:sz w:val="21"/>
          <w:szCs w:val="24"/>
          <w:lang w:val="en-US" w:eastAsia="zh-CN" w:bidi="ar-SA"/>
        </w:rPr>
      </w:pPr>
      <w:r>
        <w:rPr>
          <w:rFonts w:hint="eastAsia" w:cs="黑体"/>
          <w:kern w:val="2"/>
          <w:sz w:val="21"/>
          <w:szCs w:val="24"/>
          <w:lang w:val="en-US" w:eastAsia="zh-CN" w:bidi="ar-SA"/>
        </w:rPr>
        <w:tab/>
      </w:r>
      <w:r>
        <w:rPr>
          <w:rFonts w:hint="eastAsia" w:cs="黑体"/>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黑体"/>
          <w:kern w:val="2"/>
          <w:sz w:val="21"/>
          <w:szCs w:val="24"/>
          <w:lang w:val="en-US" w:eastAsia="zh-CN" w:bidi="ar-SA"/>
        </w:rPr>
      </w:pPr>
    </w:p>
    <w:tbl>
      <w:tblPr>
        <w:tblStyle w:val="4"/>
        <w:tblW w:w="14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105"/>
        <w:gridCol w:w="975"/>
        <w:gridCol w:w="163"/>
        <w:gridCol w:w="687"/>
        <w:gridCol w:w="457"/>
        <w:gridCol w:w="1146"/>
        <w:gridCol w:w="1190"/>
        <w:gridCol w:w="1157"/>
        <w:gridCol w:w="1168"/>
        <w:gridCol w:w="92"/>
        <w:gridCol w:w="893"/>
        <w:gridCol w:w="156"/>
        <w:gridCol w:w="969"/>
        <w:gridCol w:w="1211"/>
        <w:gridCol w:w="280"/>
        <w:gridCol w:w="1134"/>
        <w:gridCol w:w="484"/>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4963" w:type="dxa"/>
            <w:gridSpan w:val="19"/>
            <w:tcBorders>
              <w:top w:val="nil"/>
              <w:left w:val="nil"/>
              <w:bottom w:val="nil"/>
              <w:right w:val="nil"/>
            </w:tcBorders>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pStyle w:val="2"/>
              <w:rPr>
                <w:rFonts w:hint="eastAsia" w:ascii="宋体" w:hAnsi="宋体" w:cs="Arial"/>
                <w:b/>
                <w:bCs/>
                <w:color w:val="000000"/>
                <w:kern w:val="0"/>
                <w:sz w:val="36"/>
                <w:szCs w:val="36"/>
              </w:rPr>
            </w:pPr>
          </w:p>
          <w:p>
            <w:pPr>
              <w:rPr>
                <w:rFonts w:hint="eastAsia" w:ascii="宋体" w:hAnsi="宋体" w:cs="Arial"/>
                <w:b/>
                <w:bCs/>
                <w:color w:val="000000"/>
                <w:kern w:val="0"/>
                <w:sz w:val="36"/>
                <w:szCs w:val="36"/>
              </w:rPr>
            </w:pPr>
          </w:p>
          <w:p>
            <w:pPr>
              <w:pStyle w:val="2"/>
              <w:rPr>
                <w:rFonts w:hint="eastAsia" w:ascii="宋体" w:hAnsi="宋体" w:cs="Arial"/>
                <w:b/>
                <w:bCs/>
                <w:color w:val="000000"/>
                <w:kern w:val="0"/>
                <w:sz w:val="36"/>
                <w:szCs w:val="36"/>
              </w:rPr>
            </w:pPr>
          </w:p>
          <w:p>
            <w:pPr>
              <w:rPr>
                <w:rFonts w:hint="eastAsia" w:ascii="宋体" w:hAnsi="宋体" w:cs="Arial"/>
                <w:b/>
                <w:bCs/>
                <w:color w:val="000000"/>
                <w:kern w:val="0"/>
                <w:sz w:val="36"/>
                <w:szCs w:val="36"/>
              </w:rPr>
            </w:pPr>
          </w:p>
          <w:p>
            <w:pPr>
              <w:pStyle w:val="2"/>
              <w:rPr>
                <w:rFonts w:hint="eastAsia" w:ascii="宋体" w:hAnsi="宋体" w:cs="Arial"/>
                <w:b/>
                <w:bCs/>
                <w:color w:val="000000"/>
                <w:kern w:val="0"/>
                <w:sz w:val="36"/>
                <w:szCs w:val="36"/>
              </w:rPr>
            </w:pPr>
          </w:p>
          <w:p>
            <w:pPr>
              <w:rPr>
                <w:rFonts w:hint="eastAsia" w:ascii="宋体" w:hAnsi="宋体" w:cs="Arial"/>
                <w:b/>
                <w:bCs/>
                <w:color w:val="000000"/>
                <w:kern w:val="0"/>
                <w:sz w:val="36"/>
                <w:szCs w:val="36"/>
              </w:rPr>
            </w:pPr>
          </w:p>
          <w:p>
            <w:pPr>
              <w:pStyle w:val="2"/>
              <w:rPr>
                <w:rFonts w:hint="eastAsia" w:ascii="宋体" w:hAnsi="宋体" w:cs="Arial"/>
                <w:b/>
                <w:bCs/>
                <w:color w:val="000000"/>
                <w:kern w:val="0"/>
                <w:sz w:val="36"/>
                <w:szCs w:val="36"/>
              </w:rPr>
            </w:pPr>
          </w:p>
          <w:p>
            <w:pPr>
              <w:rPr>
                <w:rFonts w:hint="eastAsia"/>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1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9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63"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56" w:type="dxa"/>
            <w:gridSpan w:val="8"/>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中卫市沙坡头区农业农村局（本级）</w:t>
            </w:r>
          </w:p>
        </w:tc>
        <w:tc>
          <w:tcPr>
            <w:tcW w:w="1157" w:type="dxa"/>
            <w:tcBorders>
              <w:top w:val="nil"/>
              <w:left w:val="nil"/>
              <w:bottom w:val="nil"/>
              <w:right w:val="nil"/>
            </w:tcBorders>
            <w:vAlign w:val="bottom"/>
          </w:tcPr>
          <w:p>
            <w:pPr>
              <w:widowControl/>
              <w:jc w:val="center"/>
              <w:rPr>
                <w:rFonts w:ascii="宋体" w:hAnsi="宋体" w:cs="Arial"/>
                <w:color w:val="000000"/>
                <w:kern w:val="0"/>
                <w:sz w:val="24"/>
              </w:rPr>
            </w:pPr>
          </w:p>
        </w:tc>
        <w:tc>
          <w:tcPr>
            <w:tcW w:w="12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9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63"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1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950"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3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364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15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37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204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07" w:type="dxa"/>
            <w:gridSpan w:val="3"/>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14"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公务用车</w:t>
            </w: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运行费</w:t>
            </w:r>
          </w:p>
        </w:tc>
        <w:tc>
          <w:tcPr>
            <w:tcW w:w="204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07"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8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1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04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238" w:type="dxa"/>
            <w:gridSpan w:val="2"/>
            <w:tcBorders>
              <w:top w:val="nil"/>
              <w:left w:val="single" w:color="auto" w:sz="4" w:space="0"/>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rPr>
            </w:pPr>
            <w:r>
              <w:rPr>
                <w:rFonts w:hint="eastAsia" w:ascii="宋体" w:hAnsi="宋体" w:cs="宋体"/>
                <w:i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1307" w:type="dxa"/>
            <w:gridSpan w:val="3"/>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rPr>
            </w:pPr>
            <w:r>
              <w:rPr>
                <w:rFonts w:hint="eastAsia" w:ascii="宋体" w:hAnsi="宋体" w:cs="宋体"/>
                <w:i w:val="0"/>
                <w:color w:val="000000"/>
                <w:kern w:val="0"/>
                <w:sz w:val="20"/>
                <w:szCs w:val="20"/>
                <w:u w:val="none"/>
                <w:lang w:val="en-US" w:eastAsia="zh-CN" w:bidi="ar"/>
              </w:rPr>
              <w:t>0.00</w:t>
            </w:r>
          </w:p>
        </w:tc>
        <w:tc>
          <w:tcPr>
            <w:tcW w:w="1146"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1190" w:type="dxa"/>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rPr>
            </w:pPr>
            <w:r>
              <w:rPr>
                <w:rFonts w:hint="eastAsia" w:ascii="宋体" w:hAnsi="宋体" w:cs="宋体"/>
                <w:i w:val="0"/>
                <w:color w:val="000000"/>
                <w:kern w:val="0"/>
                <w:sz w:val="20"/>
                <w:szCs w:val="20"/>
                <w:u w:val="none"/>
                <w:lang w:val="en-US" w:eastAsia="zh-CN" w:bidi="ar"/>
              </w:rPr>
              <w:t>0.00</w:t>
            </w:r>
          </w:p>
        </w:tc>
        <w:tc>
          <w:tcPr>
            <w:tcW w:w="1157" w:type="dxa"/>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rPr>
            </w:pPr>
            <w:r>
              <w:rPr>
                <w:rFonts w:hint="eastAsia" w:ascii="宋体" w:hAnsi="宋体" w:cs="宋体"/>
                <w:i w:val="0"/>
                <w:color w:val="000000"/>
                <w:kern w:val="0"/>
                <w:sz w:val="20"/>
                <w:szCs w:val="20"/>
                <w:u w:val="none"/>
                <w:lang w:val="en-US" w:eastAsia="zh-CN" w:bidi="ar"/>
              </w:rPr>
              <w:t>0.00</w:t>
            </w:r>
          </w:p>
        </w:tc>
        <w:tc>
          <w:tcPr>
            <w:tcW w:w="1168"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985" w:type="dxa"/>
            <w:gridSpan w:val="2"/>
            <w:tcBorders>
              <w:top w:val="nil"/>
              <w:left w:val="nil"/>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1125" w:type="dxa"/>
            <w:gridSpan w:val="2"/>
            <w:tcBorders>
              <w:top w:val="nil"/>
              <w:left w:val="nil"/>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bidi="ar-SA"/>
              </w:rPr>
            </w:pPr>
            <w:r>
              <w:rPr>
                <w:rFonts w:hint="eastAsia" w:ascii="宋体" w:hAnsi="宋体" w:cs="宋体"/>
                <w:i w:val="0"/>
                <w:color w:val="000000"/>
                <w:kern w:val="0"/>
                <w:sz w:val="20"/>
                <w:szCs w:val="20"/>
                <w:u w:val="none"/>
                <w:lang w:val="en-US" w:eastAsia="zh-CN" w:bidi="ar"/>
              </w:rPr>
              <w:t>0.00</w:t>
            </w:r>
          </w:p>
        </w:tc>
        <w:tc>
          <w:tcPr>
            <w:tcW w:w="1211" w:type="dxa"/>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1414" w:type="dxa"/>
            <w:gridSpan w:val="2"/>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c>
          <w:tcPr>
            <w:tcW w:w="2047" w:type="dxa"/>
            <w:gridSpan w:val="2"/>
            <w:tcBorders>
              <w:top w:val="nil"/>
              <w:left w:val="nil"/>
              <w:bottom w:val="single" w:color="auto" w:sz="4" w:space="0"/>
              <w:right w:val="single" w:color="auto" w:sz="4" w:space="0"/>
            </w:tcBorders>
            <w:vAlign w:val="center"/>
          </w:tcPr>
          <w:p>
            <w:pPr>
              <w:widowControl/>
              <w:jc w:val="righ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4963" w:type="dxa"/>
            <w:gridSpan w:val="19"/>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rPr>
      </w:pPr>
    </w:p>
    <w:tbl>
      <w:tblPr>
        <w:tblStyle w:val="4"/>
        <w:tblW w:w="1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1"/>
                <w:szCs w:val="21"/>
                <w:lang w:eastAsia="zh-CN"/>
              </w:rPr>
              <w:t>中卫市沙坡头区农业农村局</w:t>
            </w: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pPr>
        <w:wordWrap/>
        <w:snapToGrid/>
        <w:spacing w:beforeLines="50" w:line="560" w:lineRule="exact"/>
        <w:ind w:right="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第三部分 201</w:t>
      </w:r>
      <w:r>
        <w:rPr>
          <w:rFonts w:hint="default" w:ascii="Times New Roman" w:hAnsi="Times New Roman" w:eastAsia="黑体" w:cs="Times New Roman"/>
          <w:b w:val="0"/>
          <w:kern w:val="0"/>
          <w:sz w:val="36"/>
          <w:szCs w:val="36"/>
          <w:lang w:val="en-US" w:eastAsia="zh-CN"/>
        </w:rPr>
        <w:t>9</w:t>
      </w:r>
      <w:r>
        <w:rPr>
          <w:rFonts w:hint="default" w:ascii="Times New Roman" w:hAnsi="Times New Roman" w:eastAsia="黑体" w:cs="Times New Roman"/>
          <w:b w:val="0"/>
          <w:kern w:val="0"/>
          <w:sz w:val="36"/>
          <w:szCs w:val="36"/>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outlineLvl w:val="1"/>
        <w:rPr>
          <w:rFonts w:hint="default" w:ascii="Times New Roman" w:hAnsi="Times New Roman" w:eastAsia="黑体" w:cs="Times New Roman"/>
          <w:b w:val="0"/>
          <w:kern w:val="0"/>
          <w:sz w:val="32"/>
          <w:szCs w:val="32"/>
        </w:rPr>
      </w:pPr>
      <w:r>
        <w:rPr>
          <w:rFonts w:hint="default" w:ascii="Times New Roman" w:hAnsi="Times New Roman" w:eastAsia="楷体_GB2312" w:cs="Times New Roman"/>
          <w:b/>
          <w:bCs/>
          <w:kern w:val="0"/>
          <w:sz w:val="32"/>
          <w:szCs w:val="32"/>
        </w:rPr>
        <w:t>一、收入支出决算总体情况说明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0000FF"/>
          <w:kern w:val="0"/>
          <w:sz w:val="32"/>
          <w:szCs w:val="32"/>
          <w:lang w:val="en-US" w:eastAsia="zh-CN"/>
        </w:rPr>
      </w:pPr>
      <w:r>
        <w:rPr>
          <w:rFonts w:hint="default" w:ascii="Times New Roman" w:hAnsi="Times New Roman" w:eastAsia="仿宋_GB2312" w:cs="Times New Roman"/>
          <w:kern w:val="0"/>
          <w:sz w:val="32"/>
          <w:szCs w:val="32"/>
          <w:lang w:eastAsia="zh-CN"/>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eastAsia="zh-CN"/>
        </w:rPr>
        <w:t>年度收入总计466,692,585.19元，支出总计466,692,585.19元。与2018年度相比，收、支总计各增加216,073,583.74 元，增长</w:t>
      </w:r>
      <w:r>
        <w:rPr>
          <w:rFonts w:hint="eastAsia" w:ascii="Times New Roman" w:hAnsi="Times New Roman" w:eastAsia="仿宋_GB2312" w:cs="Times New Roman"/>
          <w:kern w:val="0"/>
          <w:sz w:val="32"/>
          <w:szCs w:val="32"/>
          <w:lang w:val="en-US" w:eastAsia="zh-CN"/>
        </w:rPr>
        <w:t>86.22</w:t>
      </w:r>
      <w:r>
        <w:rPr>
          <w:rFonts w:hint="default" w:ascii="Times New Roman" w:hAnsi="Times New Roman" w:eastAsia="仿宋_GB2312" w:cs="Times New Roman"/>
          <w:kern w:val="0"/>
          <w:sz w:val="32"/>
          <w:szCs w:val="32"/>
          <w:lang w:eastAsia="zh-CN"/>
        </w:rPr>
        <w:t>%，主要原因</w:t>
      </w:r>
      <w:r>
        <w:rPr>
          <w:rFonts w:hint="eastAsia"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lang w:eastAsia="zh-CN"/>
        </w:rPr>
        <w:t>是国家对农田水利、乡村振兴、农村人居环境整治及农业项目资金投入量增大</w:t>
      </w:r>
      <w:r>
        <w:rPr>
          <w:rFonts w:hint="eastAsia" w:ascii="Times New Roman" w:hAnsi="Times New Roman" w:eastAsia="仿宋_GB2312" w:cs="Times New Roman"/>
          <w:kern w:val="0"/>
          <w:sz w:val="32"/>
          <w:szCs w:val="32"/>
          <w:lang w:eastAsia="zh-CN"/>
        </w:rPr>
        <w:t>；二是</w:t>
      </w:r>
      <w:r>
        <w:rPr>
          <w:rFonts w:hint="eastAsia" w:ascii="Times New Roman" w:hAnsi="Times New Roman" w:eastAsia="仿宋_GB2312" w:cs="Times New Roman"/>
          <w:kern w:val="0"/>
          <w:sz w:val="32"/>
          <w:szCs w:val="32"/>
          <w:lang w:val="en-US" w:eastAsia="zh-CN"/>
        </w:rPr>
        <w:t>涉农到户补贴资金原由</w:t>
      </w:r>
      <w:r>
        <w:rPr>
          <w:rFonts w:hint="eastAsia" w:ascii="Times New Roman" w:hAnsi="Times New Roman" w:eastAsia="仿宋_GB2312" w:cs="Times New Roman"/>
          <w:b w:val="0"/>
          <w:kern w:val="0"/>
          <w:sz w:val="32"/>
          <w:szCs w:val="32"/>
          <w:lang w:eastAsia="zh-CN"/>
        </w:rPr>
        <w:t>区财政局</w:t>
      </w:r>
      <w:r>
        <w:rPr>
          <w:rFonts w:hint="eastAsia" w:ascii="Times New Roman" w:hAnsi="Times New Roman" w:eastAsia="仿宋_GB2312" w:cs="Times New Roman"/>
          <w:kern w:val="0"/>
          <w:sz w:val="32"/>
          <w:szCs w:val="32"/>
          <w:lang w:val="en-US" w:eastAsia="zh-CN"/>
        </w:rPr>
        <w:t>通过一卡通发放，2019年由我局通过一卡通支付，收入、支出均增加。</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二、收入决算情况说明</w:t>
      </w:r>
    </w:p>
    <w:p>
      <w:pPr>
        <w:pStyle w:val="7"/>
        <w:wordWrap/>
        <w:snapToGrid/>
        <w:spacing w:line="560" w:lineRule="exact"/>
        <w:ind w:right="0" w:firstLine="745" w:firstLineChars="23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kern w:val="0"/>
          <w:sz w:val="32"/>
          <w:szCs w:val="32"/>
          <w:lang w:val="en-US" w:eastAsia="zh-CN" w:bidi="ar-SA"/>
        </w:rPr>
        <w:t>443,797,726.82</w:t>
      </w:r>
      <w:r>
        <w:rPr>
          <w:rFonts w:hint="default" w:ascii="Times New Roman" w:hAnsi="Times New Roman" w:eastAsia="仿宋_GB2312" w:cs="Times New Roman"/>
          <w:color w:val="auto"/>
          <w:sz w:val="32"/>
          <w:szCs w:val="32"/>
        </w:rPr>
        <w:t xml:space="preserve">元，其中：财政拨款收入 </w:t>
      </w:r>
      <w:r>
        <w:rPr>
          <w:rFonts w:hint="eastAsia" w:ascii="Times New Roman" w:hAnsi="Times New Roman" w:eastAsia="仿宋_GB2312" w:cs="Times New Roman"/>
          <w:color w:val="auto"/>
          <w:kern w:val="0"/>
          <w:sz w:val="32"/>
          <w:szCs w:val="32"/>
          <w:lang w:val="en-US" w:eastAsia="zh-CN" w:bidi="ar-SA"/>
        </w:rPr>
        <w:t>366,378,308.61</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82.56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上级补助</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附属单位上缴</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%；其他收入77,419,418.21元，占</w:t>
      </w:r>
      <w:r>
        <w:rPr>
          <w:rFonts w:hint="eastAsia" w:ascii="Times New Roman" w:hAnsi="Times New Roman" w:eastAsia="仿宋_GB2312" w:cs="Times New Roman"/>
          <w:color w:val="auto"/>
          <w:sz w:val="32"/>
          <w:szCs w:val="32"/>
          <w:lang w:val="en-US" w:eastAsia="zh-CN"/>
        </w:rPr>
        <w:t>17.44</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三、支出决算情况说明</w:t>
      </w:r>
    </w:p>
    <w:p>
      <w:pPr>
        <w:wordWrap/>
        <w:snapToGrid/>
        <w:spacing w:line="560" w:lineRule="exact"/>
        <w:ind w:right="0" w:firstLine="614" w:firstLineChars="192"/>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年度支出合计</w:t>
      </w:r>
      <w:r>
        <w:rPr>
          <w:rFonts w:hint="eastAsia" w:ascii="Times New Roman" w:hAnsi="Times New Roman" w:eastAsia="仿宋_GB2312" w:cs="Times New Roman"/>
          <w:color w:val="auto"/>
          <w:kern w:val="0"/>
          <w:sz w:val="32"/>
          <w:szCs w:val="32"/>
          <w:lang w:val="en-US" w:eastAsia="zh-CN" w:bidi="ar-SA"/>
        </w:rPr>
        <w:t>313,481,844.95</w:t>
      </w:r>
      <w:r>
        <w:rPr>
          <w:rFonts w:hint="default" w:ascii="Times New Roman" w:hAnsi="Times New Roman" w:eastAsia="仿宋_GB2312" w:cs="Times New Roman"/>
          <w:kern w:val="0"/>
          <w:sz w:val="32"/>
          <w:szCs w:val="32"/>
        </w:rPr>
        <w:t>元，其中：基本支出</w:t>
      </w:r>
      <w:r>
        <w:rPr>
          <w:rFonts w:hint="eastAsia" w:ascii="Times New Roman" w:hAnsi="Times New Roman" w:eastAsia="仿宋_GB2312" w:cs="Times New Roman"/>
          <w:color w:val="auto"/>
          <w:kern w:val="0"/>
          <w:sz w:val="32"/>
          <w:szCs w:val="32"/>
          <w:lang w:val="en-US" w:eastAsia="zh-CN" w:bidi="ar-SA"/>
        </w:rPr>
        <w:t>1,546,562.86</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0.49</w:t>
      </w:r>
      <w:r>
        <w:rPr>
          <w:rFonts w:hint="default" w:ascii="Times New Roman" w:hAnsi="Times New Roman" w:eastAsia="仿宋_GB2312" w:cs="Times New Roman"/>
          <w:kern w:val="0"/>
          <w:sz w:val="32"/>
          <w:szCs w:val="32"/>
        </w:rPr>
        <w:t>%；项目支出</w:t>
      </w:r>
      <w:r>
        <w:rPr>
          <w:rFonts w:hint="eastAsia" w:ascii="Times New Roman" w:hAnsi="Times New Roman" w:eastAsia="仿宋_GB2312" w:cs="Times New Roman"/>
          <w:color w:val="auto"/>
          <w:kern w:val="0"/>
          <w:sz w:val="32"/>
          <w:szCs w:val="32"/>
          <w:lang w:val="en-US" w:eastAsia="zh-CN" w:bidi="ar-SA"/>
        </w:rPr>
        <w:t>311,935,282.09</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99.51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上缴上级</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，对附属单位补助</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w:t>
      </w:r>
    </w:p>
    <w:p>
      <w:pPr>
        <w:wordWrap/>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FF"/>
          <w:kern w:val="0"/>
          <w:sz w:val="32"/>
          <w:szCs w:val="32"/>
          <w:lang w:val="en-US" w:eastAsia="zh-CN"/>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年度财政拨款收入总计</w:t>
      </w:r>
      <w:r>
        <w:rPr>
          <w:rFonts w:hint="eastAsia" w:ascii="Times New Roman" w:hAnsi="Times New Roman" w:eastAsia="仿宋_GB2312" w:cs="Times New Roman"/>
          <w:kern w:val="0"/>
          <w:sz w:val="32"/>
          <w:szCs w:val="32"/>
          <w:lang w:val="en-US" w:eastAsia="zh-CN"/>
        </w:rPr>
        <w:t>381,709,340.26</w:t>
      </w:r>
      <w:r>
        <w:rPr>
          <w:rFonts w:hint="default" w:ascii="Times New Roman" w:hAnsi="Times New Roman" w:eastAsia="仿宋_GB2312" w:cs="Times New Roman"/>
          <w:kern w:val="0"/>
          <w:sz w:val="32"/>
          <w:szCs w:val="32"/>
        </w:rPr>
        <w:t>元，支出总计381,709,340.26元。与2018年度相比，财政拨款收、支总计各增加226,262,607.38元，增长</w:t>
      </w:r>
      <w:r>
        <w:rPr>
          <w:rFonts w:hint="eastAsia" w:ascii="Times New Roman" w:hAnsi="Times New Roman" w:eastAsia="仿宋_GB2312" w:cs="Times New Roman"/>
          <w:kern w:val="0"/>
          <w:sz w:val="32"/>
          <w:szCs w:val="32"/>
          <w:lang w:val="en-US" w:eastAsia="zh-CN"/>
        </w:rPr>
        <w:t>145.56</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主要原因</w:t>
      </w:r>
      <w:r>
        <w:rPr>
          <w:rFonts w:hint="default" w:ascii="Times New Roman" w:hAnsi="Times New Roman" w:eastAsia="仿宋_GB2312" w:cs="Times New Roman"/>
          <w:kern w:val="0"/>
          <w:sz w:val="32"/>
          <w:szCs w:val="32"/>
        </w:rPr>
        <w:t>一是2019年由于机构改革，业务工作职能增加，</w:t>
      </w:r>
      <w:r>
        <w:rPr>
          <w:rFonts w:hint="eastAsia" w:ascii="Times New Roman" w:hAnsi="Times New Roman" w:eastAsia="仿宋_GB2312" w:cs="Times New Roman"/>
          <w:kern w:val="0"/>
          <w:sz w:val="32"/>
          <w:szCs w:val="32"/>
          <w:lang w:eastAsia="zh-CN"/>
        </w:rPr>
        <w:t>尤其新增</w:t>
      </w:r>
      <w:r>
        <w:rPr>
          <w:rFonts w:hint="eastAsia" w:ascii="Times New Roman" w:hAnsi="Times New Roman" w:eastAsia="仿宋_GB2312" w:cs="Times New Roman"/>
          <w:kern w:val="0"/>
          <w:sz w:val="32"/>
          <w:szCs w:val="32"/>
          <w:lang w:val="en-US" w:eastAsia="zh-CN"/>
        </w:rPr>
        <w:t>2019年农村人居环境整治项目和农田建设项目，财政收入和支出均增加；</w:t>
      </w:r>
      <w:r>
        <w:rPr>
          <w:rFonts w:hint="eastAsia" w:ascii="Times New Roman" w:hAnsi="Times New Roman" w:eastAsia="仿宋_GB2312" w:cs="Times New Roman"/>
          <w:kern w:val="0"/>
          <w:sz w:val="32"/>
          <w:szCs w:val="32"/>
          <w:lang w:eastAsia="zh-CN"/>
        </w:rPr>
        <w:t>二是涉农到户补贴资金原由</w:t>
      </w:r>
      <w:r>
        <w:rPr>
          <w:rFonts w:hint="eastAsia" w:ascii="Times New Roman" w:hAnsi="Times New Roman" w:eastAsia="仿宋_GB2312" w:cs="Times New Roman"/>
          <w:b w:val="0"/>
          <w:kern w:val="0"/>
          <w:sz w:val="32"/>
          <w:szCs w:val="32"/>
          <w:lang w:eastAsia="zh-CN"/>
        </w:rPr>
        <w:t>区财政局</w:t>
      </w:r>
      <w:r>
        <w:rPr>
          <w:rFonts w:hint="eastAsia" w:ascii="Times New Roman" w:hAnsi="Times New Roman" w:eastAsia="仿宋_GB2312" w:cs="Times New Roman"/>
          <w:kern w:val="0"/>
          <w:sz w:val="32"/>
          <w:szCs w:val="32"/>
          <w:lang w:eastAsia="zh-CN"/>
        </w:rPr>
        <w:t>通过一卡通发放，2019年由我局通过一卡通支付</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五、一般公共预算财政拨款支出决算情况说明</w:t>
      </w:r>
    </w:p>
    <w:p>
      <w:pPr>
        <w:wordWrap/>
        <w:snapToGrid/>
        <w:spacing w:line="560" w:lineRule="exact"/>
        <w:ind w:right="0" w:firstLine="643" w:firstLineChars="200"/>
        <w:textAlignment w:val="auto"/>
        <w:rPr>
          <w:rFonts w:hint="default" w:ascii="Times New Roman" w:hAnsi="Times New Roman" w:eastAsia="仿宋_GB2312" w:cs="Times New Roman"/>
          <w:b w:val="0"/>
          <w:kern w:val="0"/>
          <w:sz w:val="32"/>
          <w:szCs w:val="32"/>
          <w:lang w:eastAsia="zh-CN"/>
        </w:rPr>
      </w:pPr>
      <w:r>
        <w:rPr>
          <w:rFonts w:hint="default" w:ascii="Times New Roman" w:hAnsi="Times New Roman" w:eastAsia="仿宋_GB2312" w:cs="Times New Roman"/>
          <w:b/>
          <w:kern w:val="0"/>
          <w:sz w:val="32"/>
          <w:szCs w:val="32"/>
        </w:rPr>
        <w:t>（一）</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总体情况。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财政拨款支出246,360,807.82元，占本年支出合计的</w:t>
      </w:r>
      <w:r>
        <w:rPr>
          <w:rFonts w:hint="eastAsia" w:ascii="Times New Roman" w:hAnsi="Times New Roman" w:eastAsia="仿宋_GB2312" w:cs="Times New Roman"/>
          <w:kern w:val="0"/>
          <w:sz w:val="32"/>
          <w:szCs w:val="32"/>
          <w:lang w:val="en-US" w:eastAsia="zh-CN"/>
        </w:rPr>
        <w:t>78.59</w:t>
      </w:r>
      <w:r>
        <w:rPr>
          <w:rFonts w:hint="default" w:ascii="Times New Roman" w:hAnsi="Times New Roman" w:eastAsia="仿宋_GB2312" w:cs="Times New Roman"/>
          <w:kern w:val="0"/>
          <w:sz w:val="32"/>
          <w:szCs w:val="32"/>
        </w:rPr>
        <w:t>%。与201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财政拨款支出增加106,996,145.59元，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76.77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kern w:val="0"/>
          <w:sz w:val="32"/>
          <w:szCs w:val="32"/>
          <w:lang w:eastAsia="zh-CN"/>
        </w:rPr>
        <w:t>主要原因一是2019年由于机构改革，业务工作职能增加，尤其新增2019年农村人居环境整治项目和农田建设项目，一般公共预算财政拨款支出增加；二是</w:t>
      </w:r>
      <w:r>
        <w:rPr>
          <w:rFonts w:hint="eastAsia" w:ascii="Times New Roman" w:hAnsi="Times New Roman" w:eastAsia="仿宋_GB2312" w:cs="Times New Roman"/>
          <w:b w:val="0"/>
          <w:kern w:val="0"/>
          <w:sz w:val="32"/>
          <w:szCs w:val="32"/>
          <w:lang w:eastAsia="zh-CN"/>
        </w:rPr>
        <w:t>涉农到户补贴资金原由区财政局通过一卡通发放，</w:t>
      </w:r>
      <w:r>
        <w:rPr>
          <w:rFonts w:hint="default" w:ascii="Times New Roman" w:hAnsi="Times New Roman" w:eastAsia="仿宋_GB2312" w:cs="Times New Roman"/>
          <w:b w:val="0"/>
          <w:kern w:val="0"/>
          <w:sz w:val="32"/>
          <w:szCs w:val="32"/>
          <w:lang w:eastAsia="zh-CN"/>
        </w:rPr>
        <w:t>2019年由我局通过一卡通支付</w:t>
      </w:r>
      <w:r>
        <w:rPr>
          <w:rFonts w:hint="eastAsia" w:ascii="Times New Roman" w:hAnsi="Times New Roman" w:eastAsia="仿宋_GB2312" w:cs="Times New Roman"/>
          <w:b w:val="0"/>
          <w:kern w:val="0"/>
          <w:sz w:val="32"/>
          <w:szCs w:val="32"/>
          <w:lang w:eastAsia="zh-CN"/>
        </w:rPr>
        <w:t>，</w:t>
      </w:r>
      <w:r>
        <w:rPr>
          <w:rFonts w:hint="default" w:ascii="Times New Roman" w:hAnsi="Times New Roman" w:eastAsia="仿宋_GB2312" w:cs="Times New Roman"/>
          <w:b w:val="0"/>
          <w:kern w:val="0"/>
          <w:sz w:val="32"/>
          <w:szCs w:val="32"/>
          <w:lang w:eastAsia="zh-CN"/>
        </w:rPr>
        <w:t>一般公共预算财政拨款支出增加</w:t>
      </w:r>
      <w:r>
        <w:rPr>
          <w:rFonts w:hint="eastAsia" w:ascii="Times New Roman" w:hAnsi="Times New Roman" w:eastAsia="仿宋_GB2312" w:cs="Times New Roman"/>
          <w:b w:val="0"/>
          <w:kern w:val="0"/>
          <w:sz w:val="32"/>
          <w:szCs w:val="32"/>
          <w:lang w:eastAsia="zh-CN"/>
        </w:rPr>
        <w:t>。</w:t>
      </w:r>
    </w:p>
    <w:p>
      <w:pPr>
        <w:wordWrap/>
        <w:snapToGrid/>
        <w:spacing w:line="560" w:lineRule="exact"/>
        <w:ind w:right="0" w:firstLine="655" w:firstLineChars="204"/>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0"/>
          <w:sz w:val="32"/>
          <w:szCs w:val="32"/>
        </w:rPr>
        <w:t>（二）</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结构情况。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财政拨款支出246,360,807.82元，主要用于以下方面：一般公共服务（类）支出40,269.57元，占</w:t>
      </w:r>
      <w:r>
        <w:rPr>
          <w:rFonts w:hint="eastAsia" w:ascii="Times New Roman" w:hAnsi="Times New Roman" w:eastAsia="仿宋_GB2312" w:cs="Times New Roman"/>
          <w:kern w:val="0"/>
          <w:sz w:val="32"/>
          <w:szCs w:val="32"/>
          <w:lang w:val="en-US" w:eastAsia="zh-CN"/>
        </w:rPr>
        <w:t>0.02</w:t>
      </w:r>
      <w:r>
        <w:rPr>
          <w:rFonts w:hint="default" w:ascii="Times New Roman" w:hAnsi="Times New Roman" w:eastAsia="仿宋_GB2312" w:cs="Times New Roman"/>
          <w:kern w:val="0"/>
          <w:sz w:val="32"/>
          <w:szCs w:val="32"/>
        </w:rPr>
        <w:t>%；公共安全支出（类）支出20,760.00元，占</w:t>
      </w:r>
      <w:r>
        <w:rPr>
          <w:rFonts w:hint="eastAsia" w:ascii="Times New Roman" w:hAnsi="Times New Roman" w:eastAsia="仿宋_GB2312" w:cs="Times New Roman"/>
          <w:kern w:val="0"/>
          <w:sz w:val="32"/>
          <w:szCs w:val="32"/>
          <w:lang w:val="en-US" w:eastAsia="zh-CN"/>
        </w:rPr>
        <w:t>0.01</w:t>
      </w:r>
      <w:r>
        <w:rPr>
          <w:rFonts w:hint="default" w:ascii="Times New Roman" w:hAnsi="Times New Roman" w:eastAsia="仿宋_GB2312" w:cs="Times New Roman"/>
          <w:kern w:val="0"/>
          <w:sz w:val="32"/>
          <w:szCs w:val="32"/>
        </w:rPr>
        <w:t>%；科学技术（类）支出315,240.00元，占</w:t>
      </w:r>
      <w:r>
        <w:rPr>
          <w:rFonts w:hint="eastAsia" w:ascii="Times New Roman" w:hAnsi="Times New Roman" w:eastAsia="仿宋_GB2312" w:cs="Times New Roman"/>
          <w:kern w:val="0"/>
          <w:sz w:val="32"/>
          <w:szCs w:val="32"/>
          <w:lang w:val="en-US" w:eastAsia="zh-CN"/>
        </w:rPr>
        <w:t>0.13</w:t>
      </w:r>
      <w:r>
        <w:rPr>
          <w:rFonts w:hint="default" w:ascii="Times New Roman" w:hAnsi="Times New Roman" w:eastAsia="仿宋_GB2312" w:cs="Times New Roman"/>
          <w:kern w:val="0"/>
          <w:sz w:val="32"/>
          <w:szCs w:val="32"/>
        </w:rPr>
        <w:t>%；社会保障和就业（类）支出277,085.46元，占</w:t>
      </w:r>
      <w:r>
        <w:rPr>
          <w:rFonts w:hint="eastAsia" w:ascii="Times New Roman" w:hAnsi="Times New Roman" w:eastAsia="仿宋_GB2312" w:cs="Times New Roman"/>
          <w:kern w:val="0"/>
          <w:sz w:val="32"/>
          <w:szCs w:val="32"/>
          <w:lang w:val="en-US" w:eastAsia="zh-CN"/>
        </w:rPr>
        <w:t>0.11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（类）支出76,249.24元，占</w:t>
      </w:r>
      <w:r>
        <w:rPr>
          <w:rFonts w:hint="eastAsia" w:ascii="Times New Roman" w:hAnsi="Times New Roman" w:eastAsia="仿宋_GB2312" w:cs="Times New Roman"/>
          <w:kern w:val="0"/>
          <w:sz w:val="32"/>
          <w:szCs w:val="32"/>
          <w:lang w:val="en-US" w:eastAsia="zh-CN"/>
        </w:rPr>
        <w:t>0.03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节能环保</w:t>
      </w:r>
      <w:r>
        <w:rPr>
          <w:rFonts w:hint="default" w:ascii="Times New Roman" w:hAnsi="Times New Roman" w:eastAsia="仿宋_GB2312" w:cs="Times New Roman"/>
          <w:kern w:val="0"/>
          <w:sz w:val="32"/>
          <w:szCs w:val="32"/>
        </w:rPr>
        <w:t>（类）支出44,111,838.00元，占</w:t>
      </w:r>
      <w:r>
        <w:rPr>
          <w:rFonts w:hint="eastAsia" w:ascii="Times New Roman" w:hAnsi="Times New Roman" w:eastAsia="仿宋_GB2312" w:cs="Times New Roman"/>
          <w:kern w:val="0"/>
          <w:sz w:val="32"/>
          <w:szCs w:val="32"/>
          <w:lang w:val="en-US" w:eastAsia="zh-CN"/>
        </w:rPr>
        <w:t>17.91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城乡社区</w:t>
      </w:r>
      <w:r>
        <w:rPr>
          <w:rFonts w:hint="default" w:ascii="Times New Roman" w:hAnsi="Times New Roman" w:eastAsia="仿宋_GB2312" w:cs="Times New Roman"/>
          <w:kern w:val="0"/>
          <w:sz w:val="32"/>
          <w:szCs w:val="32"/>
        </w:rPr>
        <w:t>（类）支出15,090,000.00元，占</w:t>
      </w:r>
      <w:r>
        <w:rPr>
          <w:rFonts w:hint="eastAsia" w:ascii="Times New Roman" w:hAnsi="Times New Roman" w:eastAsia="仿宋_GB2312" w:cs="Times New Roman"/>
          <w:kern w:val="0"/>
          <w:sz w:val="32"/>
          <w:szCs w:val="32"/>
          <w:lang w:val="en-US" w:eastAsia="zh-CN"/>
        </w:rPr>
        <w:t>6.13</w:t>
      </w:r>
      <w:r>
        <w:rPr>
          <w:rFonts w:hint="default" w:ascii="Times New Roman" w:hAnsi="Times New Roman" w:eastAsia="仿宋_GB2312" w:cs="Times New Roman"/>
          <w:kern w:val="0"/>
          <w:sz w:val="32"/>
          <w:szCs w:val="32"/>
        </w:rPr>
        <w:t>%；农林水（类）支出185,855,580.45元，占</w:t>
      </w:r>
      <w:r>
        <w:rPr>
          <w:rFonts w:hint="eastAsia" w:ascii="Times New Roman" w:hAnsi="Times New Roman" w:eastAsia="仿宋_GB2312" w:cs="Times New Roman"/>
          <w:kern w:val="0"/>
          <w:sz w:val="32"/>
          <w:szCs w:val="32"/>
          <w:lang w:val="en-US" w:eastAsia="zh-CN"/>
        </w:rPr>
        <w:t>75.44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住房保障（类）支出128,102.10元，占</w:t>
      </w:r>
      <w:r>
        <w:rPr>
          <w:rFonts w:hint="eastAsia" w:ascii="Times New Roman" w:hAnsi="Times New Roman" w:eastAsia="仿宋_GB2312" w:cs="Times New Roman"/>
          <w:kern w:val="0"/>
          <w:sz w:val="32"/>
          <w:szCs w:val="32"/>
          <w:lang w:val="en-US" w:eastAsia="zh-CN"/>
        </w:rPr>
        <w:t>0.05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粮油物资储备</w:t>
      </w:r>
      <w:r>
        <w:rPr>
          <w:rFonts w:hint="eastAsia" w:ascii="Times New Roman" w:hAnsi="Times New Roman" w:eastAsia="仿宋_GB2312" w:cs="Times New Roman"/>
          <w:kern w:val="0"/>
          <w:sz w:val="32"/>
          <w:szCs w:val="32"/>
          <w:lang w:eastAsia="zh-CN"/>
        </w:rPr>
        <w:t>（类）</w:t>
      </w:r>
      <w:r>
        <w:rPr>
          <w:rFonts w:hint="default" w:ascii="Times New Roman" w:hAnsi="Times New Roman" w:eastAsia="仿宋_GB2312" w:cs="Times New Roman"/>
          <w:kern w:val="0"/>
          <w:sz w:val="32"/>
          <w:szCs w:val="32"/>
        </w:rPr>
        <w:t>支出445,683.00</w:t>
      </w:r>
      <w:r>
        <w:rPr>
          <w:rFonts w:hint="eastAsia" w:ascii="Times New Roman" w:hAnsi="Times New Roman" w:eastAsia="仿宋_GB2312" w:cs="Times New Roman"/>
          <w:kern w:val="0"/>
          <w:sz w:val="32"/>
          <w:szCs w:val="32"/>
          <w:lang w:eastAsia="zh-CN"/>
        </w:rPr>
        <w:t>元，占</w:t>
      </w:r>
      <w:r>
        <w:rPr>
          <w:rFonts w:hint="eastAsia" w:ascii="Times New Roman" w:hAnsi="Times New Roman" w:eastAsia="仿宋_GB2312" w:cs="Times New Roman"/>
          <w:kern w:val="0"/>
          <w:sz w:val="32"/>
          <w:szCs w:val="32"/>
          <w:lang w:val="en-US" w:eastAsia="zh-CN"/>
        </w:rPr>
        <w:t>0.18%。</w:t>
      </w:r>
    </w:p>
    <w:p>
      <w:pPr>
        <w:wordWrap/>
        <w:snapToGrid/>
        <w:spacing w:line="560" w:lineRule="exact"/>
        <w:ind w:right="0" w:firstLine="652" w:firstLineChars="204"/>
        <w:textAlignment w:val="auto"/>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kern w:val="0"/>
          <w:sz w:val="32"/>
          <w:szCs w:val="32"/>
          <w:lang w:val="en-US" w:eastAsia="zh-CN"/>
        </w:rPr>
        <w:t>外交（类）支出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%；国防（类）支出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%；教育（类）支出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%；文化旅游体育与传媒（类）支出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%；交通运输（类）支出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%；资源勘探信息等（类）支出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%；商业服务业等（类）支出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%；金融（类）支出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%；援助其他地区（类）支出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%；自然资源海洋气象等（类）支出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元，占0%；灾害防治及应急管理（类）支出0元，占0%；其他（类）支出0元，占0%；债务还本（类）支出0元，占0%</w:t>
      </w:r>
      <w:r>
        <w:rPr>
          <w:rFonts w:hint="eastAsia" w:ascii="Times New Roman" w:hAnsi="Times New Roman" w:eastAsia="仿宋_GB2312" w:cs="Times New Roman"/>
          <w:kern w:val="0"/>
          <w:sz w:val="32"/>
          <w:szCs w:val="32"/>
          <w:lang w:val="en-US" w:eastAsia="zh-CN"/>
        </w:rPr>
        <w:t>；债务付息</w:t>
      </w:r>
      <w:r>
        <w:rPr>
          <w:rFonts w:hint="default" w:ascii="Times New Roman" w:hAnsi="Times New Roman" w:eastAsia="仿宋_GB2312" w:cs="Times New Roman"/>
          <w:kern w:val="0"/>
          <w:sz w:val="32"/>
          <w:szCs w:val="32"/>
          <w:lang w:val="en-US" w:eastAsia="zh-CN"/>
        </w:rPr>
        <w:t>（类）支出0元，占0%</w:t>
      </w:r>
      <w:r>
        <w:rPr>
          <w:rFonts w:hint="eastAsia" w:ascii="Times New Roman" w:hAnsi="Times New Roman" w:eastAsia="仿宋_GB2312" w:cs="Times New Roman"/>
          <w:kern w:val="0"/>
          <w:sz w:val="32"/>
          <w:szCs w:val="32"/>
          <w:lang w:val="en-US" w:eastAsia="zh-CN"/>
        </w:rPr>
        <w:t>。</w:t>
      </w:r>
    </w:p>
    <w:p>
      <w:pPr>
        <w:spacing w:line="540" w:lineRule="exact"/>
        <w:ind w:firstLine="643" w:firstLineChars="200"/>
        <w:rPr>
          <w:rFonts w:hint="eastAsia" w:ascii="仿宋_GB2312" w:hAnsi="仿宋_GB2312" w:eastAsia="仿宋_GB2312" w:cs="仿宋_GB2312"/>
          <w:b/>
          <w:bCs/>
          <w:sz w:val="32"/>
          <w:szCs w:val="32"/>
          <w:highlight w:val="none"/>
          <w:lang w:val="en-US" w:eastAsia="zh-CN"/>
        </w:rPr>
      </w:pPr>
      <w:r>
        <w:rPr>
          <w:rFonts w:hint="default" w:ascii="Times New Roman" w:hAnsi="Times New Roman" w:eastAsia="仿宋_GB2312" w:cs="Times New Roman"/>
          <w:b/>
          <w:kern w:val="0"/>
          <w:sz w:val="32"/>
          <w:szCs w:val="32"/>
        </w:rPr>
        <w:t>（</w:t>
      </w:r>
      <w:r>
        <w:rPr>
          <w:rFonts w:hint="eastAsia" w:ascii="Times New Roman" w:hAnsi="Times New Roman" w:eastAsia="仿宋_GB2312" w:cs="Times New Roman"/>
          <w:b/>
          <w:kern w:val="0"/>
          <w:sz w:val="32"/>
          <w:szCs w:val="32"/>
          <w:lang w:eastAsia="zh-CN"/>
        </w:rPr>
        <w:t>三</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具体情况。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财政拨款支出年初预算为</w:t>
      </w:r>
      <w:r>
        <w:rPr>
          <w:rFonts w:hint="eastAsia" w:ascii="Times New Roman" w:hAnsi="Times New Roman" w:eastAsia="仿宋_GB2312" w:cs="Times New Roman"/>
          <w:kern w:val="0"/>
          <w:sz w:val="32"/>
          <w:szCs w:val="32"/>
          <w:lang w:val="en-US" w:eastAsia="zh-CN"/>
        </w:rPr>
        <w:t>1,429,600.00</w:t>
      </w:r>
      <w:r>
        <w:rPr>
          <w:rFonts w:hint="default" w:ascii="Times New Roman" w:hAnsi="Times New Roman" w:eastAsia="仿宋_GB2312" w:cs="Times New Roman"/>
          <w:kern w:val="0"/>
          <w:sz w:val="32"/>
          <w:szCs w:val="32"/>
        </w:rPr>
        <w:t>元，支出决算为246,360,807.82元，完成年初预算的</w:t>
      </w:r>
      <w:r>
        <w:rPr>
          <w:rFonts w:hint="eastAsia" w:ascii="Times New Roman" w:hAnsi="Times New Roman" w:eastAsia="仿宋_GB2312" w:cs="Times New Roman"/>
          <w:kern w:val="0"/>
          <w:sz w:val="32"/>
          <w:szCs w:val="32"/>
          <w:lang w:val="en-US" w:eastAsia="zh-CN"/>
        </w:rPr>
        <w:t>17232.85%</w:t>
      </w:r>
      <w:r>
        <w:rPr>
          <w:rFonts w:hint="default" w:ascii="Times New Roman" w:hAnsi="Times New Roman" w:eastAsia="仿宋_GB2312" w:cs="Times New Roman"/>
          <w:kern w:val="0"/>
          <w:sz w:val="32"/>
          <w:szCs w:val="32"/>
        </w:rPr>
        <w:t>。决算数大于预算数的主要原因：一是</w:t>
      </w:r>
      <w:r>
        <w:rPr>
          <w:rFonts w:hint="eastAsia" w:ascii="Times New Roman" w:hAnsi="Times New Roman" w:eastAsia="仿宋_GB2312" w:cs="Times New Roman"/>
          <w:kern w:val="0"/>
          <w:sz w:val="32"/>
          <w:szCs w:val="32"/>
          <w:lang w:eastAsia="zh-CN"/>
        </w:rPr>
        <w:t>中央和自治区农业专项资金</w:t>
      </w:r>
      <w:r>
        <w:rPr>
          <w:rFonts w:hint="default" w:ascii="Times New Roman" w:hAnsi="Times New Roman" w:eastAsia="仿宋_GB2312" w:cs="Times New Roman"/>
          <w:kern w:val="0"/>
          <w:sz w:val="32"/>
          <w:szCs w:val="32"/>
        </w:rPr>
        <w:t>未列入</w:t>
      </w:r>
      <w:r>
        <w:rPr>
          <w:rFonts w:hint="eastAsia" w:ascii="Times New Roman" w:hAnsi="Times New Roman" w:eastAsia="仿宋_GB2312" w:cs="Times New Roman"/>
          <w:kern w:val="0"/>
          <w:sz w:val="32"/>
          <w:szCs w:val="32"/>
          <w:lang w:eastAsia="zh-CN"/>
        </w:rPr>
        <w:t>本部门</w:t>
      </w:r>
      <w:r>
        <w:rPr>
          <w:rFonts w:hint="default" w:ascii="Times New Roman" w:hAnsi="Times New Roman" w:eastAsia="仿宋_GB2312" w:cs="Times New Roman"/>
          <w:kern w:val="0"/>
          <w:sz w:val="32"/>
          <w:szCs w:val="32"/>
        </w:rPr>
        <w:t>年初预算资金</w:t>
      </w:r>
      <w:r>
        <w:rPr>
          <w:rFonts w:hint="eastAsia" w:ascii="Times New Roman" w:hAnsi="Times New Roman" w:eastAsia="仿宋_GB2312" w:cs="Times New Roman"/>
          <w:kern w:val="0"/>
          <w:sz w:val="32"/>
          <w:szCs w:val="32"/>
          <w:lang w:eastAsia="zh-CN"/>
        </w:rPr>
        <w:t>；二是在</w:t>
      </w:r>
      <w:r>
        <w:rPr>
          <w:rFonts w:hint="eastAsia" w:ascii="仿宋_GB2312" w:hAnsi="Calibri" w:eastAsia="仿宋_GB2312"/>
          <w:sz w:val="32"/>
          <w:szCs w:val="32"/>
          <w:lang w:eastAsia="zh-CN"/>
        </w:rPr>
        <w:t>一般公共服务支出</w:t>
      </w:r>
      <w:r>
        <w:rPr>
          <w:rFonts w:hint="eastAsia" w:ascii="Times New Roman" w:hAnsi="Times New Roman" w:eastAsia="仿宋_GB2312" w:cs="Times New Roman"/>
          <w:kern w:val="0"/>
          <w:sz w:val="32"/>
          <w:szCs w:val="32"/>
          <w:lang w:eastAsia="zh-CN"/>
        </w:rPr>
        <w:t>、粮油物资储备支出</w:t>
      </w:r>
      <w:r>
        <w:rPr>
          <w:rFonts w:hint="eastAsia" w:ascii="仿宋_GB2312" w:hAnsi="Calibri" w:eastAsia="仿宋_GB2312"/>
          <w:sz w:val="32"/>
          <w:szCs w:val="32"/>
          <w:lang w:eastAsia="zh-CN"/>
        </w:rPr>
        <w:t>年初未做预算。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1.一般公共服务(类)政府办公厅（室）及相关机构事务(款)其他政府办公厅（室）及相关机构事务支出(项)。</w:t>
      </w:r>
      <w:r>
        <w:rPr>
          <w:rFonts w:hint="eastAsia" w:ascii="仿宋_GB2312" w:hAnsi="仿宋_GB2312" w:eastAsia="仿宋_GB2312" w:cs="仿宋_GB2312"/>
          <w:b w:val="0"/>
          <w:bCs w:val="0"/>
          <w:sz w:val="32"/>
          <w:szCs w:val="32"/>
          <w:highlight w:val="none"/>
          <w:lang w:val="en-US" w:eastAsia="zh-CN"/>
        </w:rPr>
        <w:t>年初预算数为0元，支出决算数40,269.57元。决算数大于预算数的主要原因:一是年初预算未安排一般公共服务支出；二是2018年相关资金结转至2019年继续使用。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2.公共安全支出（类）司法（款）法制建设（项）。</w:t>
      </w:r>
      <w:r>
        <w:rPr>
          <w:rFonts w:hint="eastAsia" w:ascii="仿宋_GB2312" w:hAnsi="仿宋_GB2312" w:eastAsia="仿宋_GB2312" w:cs="仿宋_GB2312"/>
          <w:b w:val="0"/>
          <w:bCs w:val="0"/>
          <w:sz w:val="32"/>
          <w:szCs w:val="32"/>
          <w:highlight w:val="none"/>
          <w:lang w:val="en-US" w:eastAsia="zh-CN"/>
        </w:rPr>
        <w:t>年初预算数为0元，支出决算数20,760.00元。决算数大于预算数的主要原因:此资金为行政执法设备资金，2018年付完预付款和进度款，2019年付完尾款。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3.科学技术支出（类）技术研究与开发（款）其他技术研究与开发支出（项）。</w:t>
      </w:r>
      <w:r>
        <w:rPr>
          <w:rFonts w:hint="eastAsia" w:ascii="仿宋_GB2312" w:hAnsi="仿宋_GB2312" w:eastAsia="仿宋_GB2312" w:cs="仿宋_GB2312"/>
          <w:b w:val="0"/>
          <w:bCs w:val="0"/>
          <w:sz w:val="32"/>
          <w:szCs w:val="32"/>
          <w:highlight w:val="none"/>
          <w:lang w:val="en-US" w:eastAsia="zh-CN"/>
        </w:rPr>
        <w:t>年初预算数为0元，支出决算数315,240.00元。决算数大于预算数的主要原因:2018年相关资金结转至2019年继续使用。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4.社会保障和就业支出（类）民政管理事务（款）其他民政管理事务支出（项），</w:t>
      </w:r>
      <w:r>
        <w:rPr>
          <w:rFonts w:hint="eastAsia" w:ascii="仿宋_GB2312" w:hAnsi="仿宋_GB2312" w:eastAsia="仿宋_GB2312" w:cs="仿宋_GB2312"/>
          <w:b w:val="0"/>
          <w:bCs w:val="0"/>
          <w:color w:val="auto"/>
          <w:sz w:val="32"/>
          <w:szCs w:val="32"/>
          <w:highlight w:val="none"/>
          <w:lang w:val="en-US" w:eastAsia="zh-CN"/>
        </w:rPr>
        <w:t>年初预算数为0元，支出决算数6000元。决算数大于预算数的主要原因:年初预算未安排其他民政管理事务支出。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5.社会保障和就业支出（类）行政事业单位离退休（款）未归口管理的行政单位离退休（项）。</w:t>
      </w:r>
      <w:r>
        <w:rPr>
          <w:rFonts w:hint="eastAsia" w:ascii="仿宋_GB2312" w:hAnsi="仿宋_GB2312" w:eastAsia="仿宋_GB2312" w:cs="仿宋_GB2312"/>
          <w:b w:val="0"/>
          <w:bCs w:val="0"/>
          <w:sz w:val="32"/>
          <w:szCs w:val="32"/>
          <w:highlight w:val="none"/>
          <w:lang w:val="en-US" w:eastAsia="zh-CN"/>
        </w:rPr>
        <w:t>年初预算数为0元，支出决算数</w:t>
      </w:r>
      <w:r>
        <w:rPr>
          <w:rFonts w:hint="eastAsia" w:ascii="仿宋_GB2312" w:hAnsi="仿宋_GB2312" w:eastAsia="仿宋_GB2312" w:cs="仿宋_GB2312"/>
          <w:b w:val="0"/>
          <w:bCs w:val="0"/>
          <w:color w:val="auto"/>
          <w:sz w:val="32"/>
          <w:szCs w:val="32"/>
          <w:highlight w:val="none"/>
          <w:lang w:val="en-US" w:eastAsia="zh-CN"/>
        </w:rPr>
        <w:t>6000元，主要原因年初未安未归口管理的行政单位离退休支出。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6.社会保障和就业支出（类）行政事业单位离退休（款） 机关事业单位基本养老保险缴费支出（项）。</w:t>
      </w:r>
      <w:r>
        <w:rPr>
          <w:rFonts w:hint="eastAsia" w:ascii="仿宋_GB2312" w:hAnsi="仿宋_GB2312" w:eastAsia="仿宋_GB2312" w:cs="仿宋_GB2312"/>
          <w:b w:val="0"/>
          <w:bCs w:val="0"/>
          <w:sz w:val="32"/>
          <w:szCs w:val="32"/>
          <w:highlight w:val="none"/>
          <w:lang w:val="en-US" w:eastAsia="zh-CN"/>
        </w:rPr>
        <w:t>年初预算数为129,000.00 元，支出决算数107,356.32元，完成年初预算的83.22%。决算数小于预算数的主要原因:一是养老保险缴费比例下调；二是缴费人员减少。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7.社会保障和就业支出（类）行政事业单位离退休（款）机关事业单位职业年金缴费支出（项）。</w:t>
      </w:r>
      <w:r>
        <w:rPr>
          <w:rFonts w:hint="eastAsia" w:ascii="仿宋_GB2312" w:hAnsi="仿宋_GB2312" w:eastAsia="仿宋_GB2312" w:cs="仿宋_GB2312"/>
          <w:b w:val="0"/>
          <w:bCs w:val="0"/>
          <w:sz w:val="32"/>
          <w:szCs w:val="32"/>
          <w:highlight w:val="none"/>
          <w:lang w:val="en-US" w:eastAsia="zh-CN"/>
        </w:rPr>
        <w:t>年初预算数为0元，支出决算数11,539.95元。决算数大于预算数的主要原因:年初预算未安排职业年金缴费支出，年中按照退休人员的职业年金虚账进行核算。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8.社会保障和就业支出（类）就业补助（款）公益性岗位补贴（项）。</w:t>
      </w:r>
      <w:r>
        <w:rPr>
          <w:rFonts w:hint="eastAsia" w:ascii="仿宋_GB2312" w:hAnsi="仿宋_GB2312" w:eastAsia="仿宋_GB2312" w:cs="仿宋_GB2312"/>
          <w:b w:val="0"/>
          <w:bCs w:val="0"/>
          <w:sz w:val="32"/>
          <w:szCs w:val="32"/>
          <w:highlight w:val="none"/>
          <w:lang w:val="en-US" w:eastAsia="zh-CN"/>
        </w:rPr>
        <w:t>年初预算数为0.00元，支出决算数146,189.19元。决算数大于预算数的主要原因:一是年初预算未安排公益性岗位补贴支出；二是2018年资金结转至2019年继续使用。</w:t>
      </w:r>
      <w:r>
        <w:rPr>
          <w:rFonts w:hint="eastAsia" w:ascii="仿宋_GB2312" w:hAnsi="仿宋_GB2312" w:eastAsia="仿宋_GB2312" w:cs="仿宋_GB2312"/>
          <w:b w:val="0"/>
          <w:bCs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9.卫生健康支出（类）行政事业单位医疗（款）行政单位医疗（项）。</w:t>
      </w:r>
      <w:r>
        <w:rPr>
          <w:rFonts w:hint="eastAsia" w:ascii="仿宋_GB2312" w:hAnsi="仿宋_GB2312" w:eastAsia="仿宋_GB2312" w:cs="仿宋_GB2312"/>
          <w:b w:val="0"/>
          <w:bCs w:val="0"/>
          <w:sz w:val="32"/>
          <w:szCs w:val="32"/>
          <w:highlight w:val="none"/>
          <w:lang w:val="en-US" w:eastAsia="zh-CN"/>
        </w:rPr>
        <w:t>年初预算数为51,600.00 元，支出决算数49,745.36元，完成年初预算的96.41%。决算数小于预算数的主要原因:年中核减编制，增加退休人员，缴费人员减少。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10.卫生健康支出（类）行政事业单位医疗（款）公务员医疗补助（项）。</w:t>
      </w:r>
      <w:r>
        <w:rPr>
          <w:rFonts w:hint="eastAsia" w:ascii="仿宋_GB2312" w:hAnsi="仿宋_GB2312" w:eastAsia="仿宋_GB2312" w:cs="仿宋_GB2312"/>
          <w:b w:val="0"/>
          <w:bCs w:val="0"/>
          <w:sz w:val="32"/>
          <w:szCs w:val="32"/>
          <w:highlight w:val="none"/>
          <w:lang w:val="en-US" w:eastAsia="zh-CN"/>
        </w:rPr>
        <w:t>年初预算数为25,800.00 元，支出决算数26,503.88元，完成年初预算的102.73%。决算数大于预算数的主要原因:缴费人员增加，新增杨银等4同志考核过渡登记公务员。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11.节能环保支出（类）自然生态保护（款）农村环境保护（项）。</w:t>
      </w:r>
      <w:r>
        <w:rPr>
          <w:rFonts w:hint="eastAsia" w:ascii="仿宋_GB2312" w:hAnsi="仿宋_GB2312" w:eastAsia="仿宋_GB2312" w:cs="仿宋_GB2312"/>
          <w:b w:val="0"/>
          <w:bCs w:val="0"/>
          <w:sz w:val="32"/>
          <w:szCs w:val="32"/>
          <w:highlight w:val="none"/>
          <w:lang w:val="en-US" w:eastAsia="zh-CN"/>
        </w:rPr>
        <w:t>年初预算数为0 元，支出决算数44,071,860.00元。决算数大于预算数的主要原因:一是年初未安排相关预算；二是以前年度资金结转至2019年继续使用。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农村环境保护支出主要包括2017年畜禽粪污资源化利用第二、三批项目3,540,400.00元、2018年畜禽污资源化利用项目4,322,000.00元、2019年度沙坡头区农村人居环境项目32,310,000.00元和沙坡头区2019年秋冬季农田水利基本建设暨农村人居环境综合整治费用3,899,460.00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12.节能环保支出（类）退耕还林（款）其他退耕还林支出（项）。</w:t>
      </w:r>
      <w:r>
        <w:rPr>
          <w:rFonts w:hint="eastAsia" w:ascii="仿宋_GB2312" w:hAnsi="仿宋_GB2312" w:eastAsia="仿宋_GB2312" w:cs="仿宋_GB2312"/>
          <w:b w:val="0"/>
          <w:bCs w:val="0"/>
          <w:sz w:val="32"/>
          <w:szCs w:val="32"/>
          <w:highlight w:val="none"/>
          <w:lang w:val="en-US" w:eastAsia="zh-CN"/>
        </w:rPr>
        <w:t>年初预算数为0 元，支出决算数39,978.00元。决算数大于预算数的主要原因:以前年度资金结转至2019年继续使用。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13.城乡社区支出（类）城乡社区管理事务（款）其他城乡社区管理事务支出（项）。</w:t>
      </w:r>
      <w:r>
        <w:rPr>
          <w:rFonts w:hint="eastAsia" w:ascii="仿宋_GB2312" w:hAnsi="仿宋_GB2312" w:eastAsia="仿宋_GB2312" w:cs="仿宋_GB2312"/>
          <w:b w:val="0"/>
          <w:bCs w:val="0"/>
          <w:sz w:val="32"/>
          <w:szCs w:val="32"/>
          <w:highlight w:val="none"/>
          <w:lang w:val="en-US" w:eastAsia="zh-CN"/>
        </w:rPr>
        <w:t>年初预算数为0 元，支出决算数15,090,000.00元。决算数大于预算数的主要原因:年初未安排相关预算。其他城乡社区管理事务支出包括2019年度沙坡头区农村人居环境建设项目资金1,550,000.00元、2019年农村“厕所革命”建设项目资金13,540,000.00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14.农林水支出（类）农业（款）行政运行（项）。</w:t>
      </w:r>
      <w:r>
        <w:rPr>
          <w:rFonts w:hint="eastAsia" w:ascii="仿宋_GB2312" w:hAnsi="仿宋_GB2312" w:eastAsia="仿宋_GB2312" w:cs="仿宋_GB2312"/>
          <w:b w:val="0"/>
          <w:bCs w:val="0"/>
          <w:sz w:val="32"/>
          <w:szCs w:val="32"/>
          <w:highlight w:val="none"/>
          <w:lang w:val="en-US" w:eastAsia="zh-CN"/>
        </w:rPr>
        <w:t>年初预算数为1,145,800.00 元，支出决算数1,196,349.00元，完成年初预算的104.41%。决算数大于预算数的主要原因:一是2019年实有人数大于年初预算数，相应工资和各类奖金及补贴增加；二是发放2015-2018年在职人员住房补贴，此补贴未安排到年初预算；</w:t>
      </w:r>
      <w:r>
        <w:rPr>
          <w:rFonts w:hint="eastAsia" w:ascii="Times New Roman" w:hAnsi="Times New Roman" w:eastAsia="仿宋_GB2312" w:cs="Times New Roman"/>
          <w:color w:val="auto"/>
          <w:sz w:val="32"/>
          <w:szCs w:val="32"/>
          <w:lang w:eastAsia="zh-CN"/>
        </w:rPr>
        <w:t>三是晋级增资。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15.农林水支出（类）农业（款）一般行政管理事务（项）。</w:t>
      </w:r>
      <w:r>
        <w:rPr>
          <w:rFonts w:hint="eastAsia" w:ascii="仿宋_GB2312" w:hAnsi="仿宋_GB2312" w:eastAsia="仿宋_GB2312" w:cs="仿宋_GB2312"/>
          <w:b w:val="0"/>
          <w:bCs w:val="0"/>
          <w:sz w:val="32"/>
          <w:szCs w:val="32"/>
          <w:highlight w:val="none"/>
          <w:lang w:val="en-US" w:eastAsia="zh-CN"/>
        </w:rPr>
        <w:t>年初预算数为0.00元，支出决算数197,181.55元。决算数大于预算数的主要原因:年初未安排相关预算。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16.农林水支出（类）农业（款）科技转化与推广服务（项）。</w:t>
      </w:r>
      <w:r>
        <w:rPr>
          <w:rFonts w:hint="eastAsia" w:ascii="仿宋_GB2312" w:hAnsi="仿宋_GB2312" w:eastAsia="仿宋_GB2312" w:cs="仿宋_GB2312"/>
          <w:b w:val="0"/>
          <w:bCs w:val="0"/>
          <w:sz w:val="32"/>
          <w:szCs w:val="32"/>
          <w:highlight w:val="none"/>
          <w:lang w:val="en-US" w:eastAsia="zh-CN"/>
        </w:rPr>
        <w:t>年初预算数为0 元，支出决算数3,992,229.26元。一是年初未安排相关预算；二是以前年度资金结转至2019年继续使用。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17.农林水支出（类）农业（款）病虫害控制（项）。</w:t>
      </w:r>
      <w:r>
        <w:rPr>
          <w:rFonts w:hint="eastAsia" w:ascii="仿宋_GB2312" w:hAnsi="仿宋_GB2312" w:eastAsia="仿宋_GB2312" w:cs="仿宋_GB2312"/>
          <w:b w:val="0"/>
          <w:bCs w:val="0"/>
          <w:sz w:val="32"/>
          <w:szCs w:val="32"/>
          <w:highlight w:val="none"/>
          <w:lang w:val="en-US" w:eastAsia="zh-CN"/>
        </w:rPr>
        <w:t>年初预算数为0.00 元，支出决算数4,992,050.00。决算数大于预算数的主要原因:一是年初预算未安排中央及自治区项目资金；二是以前年度资金结转至2019年继续使用。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18.农林水支出（类）农业（款）农产品质量安全（项）。</w:t>
      </w:r>
      <w:r>
        <w:rPr>
          <w:rFonts w:hint="eastAsia" w:ascii="仿宋_GB2312" w:hAnsi="仿宋_GB2312" w:eastAsia="仿宋_GB2312" w:cs="仿宋_GB2312"/>
          <w:b w:val="0"/>
          <w:bCs w:val="0"/>
          <w:sz w:val="32"/>
          <w:szCs w:val="32"/>
          <w:highlight w:val="none"/>
          <w:lang w:val="en-US" w:eastAsia="zh-CN"/>
        </w:rPr>
        <w:t>年初预算数为0 元，支出决算数91,052.00元。决算数大于预算数的主要原因:年初预算未安排中央及自治区项目资金。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19.农林水支出（类）农业（款）执法监管（项）。</w:t>
      </w:r>
      <w:r>
        <w:rPr>
          <w:rFonts w:hint="eastAsia" w:ascii="仿宋_GB2312" w:hAnsi="仿宋_GB2312" w:eastAsia="仿宋_GB2312" w:cs="仿宋_GB2312"/>
          <w:b w:val="0"/>
          <w:bCs w:val="0"/>
          <w:sz w:val="32"/>
          <w:szCs w:val="32"/>
          <w:highlight w:val="none"/>
          <w:lang w:val="en-US" w:eastAsia="zh-CN"/>
        </w:rPr>
        <w:t>年初预算数为0 元，支出决算数148,000.00元。决算数大于预算数的主要原因:一是年初预算未安排中央及自治区项目资金；二是以前年度资金结转至2019年继续使用。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20.农林水支出（类）农业（款）农业行业业务管理（项）。</w:t>
      </w:r>
      <w:r>
        <w:rPr>
          <w:rFonts w:hint="eastAsia" w:ascii="仿宋_GB2312" w:hAnsi="仿宋_GB2312" w:eastAsia="仿宋_GB2312" w:cs="仿宋_GB2312"/>
          <w:b w:val="0"/>
          <w:bCs w:val="0"/>
          <w:sz w:val="32"/>
          <w:szCs w:val="32"/>
          <w:highlight w:val="none"/>
          <w:lang w:val="en-US" w:eastAsia="zh-CN"/>
        </w:rPr>
        <w:t>年初预算数为0 元，支出决算数30,000.00元。决算数大于预算数的主要原因:年初预算未安排中央及自治区项目资金。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21.农林水支出（类）农业（款）防灾救灾（项）。</w:t>
      </w:r>
      <w:r>
        <w:rPr>
          <w:rFonts w:hint="eastAsia" w:ascii="仿宋_GB2312" w:hAnsi="仿宋_GB2312" w:eastAsia="仿宋_GB2312" w:cs="仿宋_GB2312"/>
          <w:b w:val="0"/>
          <w:bCs w:val="0"/>
          <w:sz w:val="32"/>
          <w:szCs w:val="32"/>
          <w:highlight w:val="none"/>
          <w:lang w:val="en-US" w:eastAsia="zh-CN"/>
        </w:rPr>
        <w:t>年初预算数为0.00元，支出决算数2,149,700.00元。决算数大于预算数的主要原因:年初预算未安排中央及自治区项目资金。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22.农林水支出（类）农业（款）稳定农民收入补贴（项）。</w:t>
      </w:r>
      <w:r>
        <w:rPr>
          <w:rFonts w:hint="eastAsia" w:ascii="仿宋_GB2312" w:hAnsi="仿宋_GB2312" w:eastAsia="仿宋_GB2312" w:cs="仿宋_GB2312"/>
          <w:b w:val="0"/>
          <w:bCs w:val="0"/>
          <w:sz w:val="32"/>
          <w:szCs w:val="32"/>
          <w:highlight w:val="none"/>
          <w:lang w:val="en-US" w:eastAsia="zh-CN"/>
        </w:rPr>
        <w:t>年初预算数为0 元，支出决算数400,000.00元。决算数大于预算数的主要原因:年初未安排相关预算，稳定农民收入补贴支出主要为2019年畜牧良种补贴项目资金400,000.00元。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23.农林水支出（类）农业（款）农业结构调整补贴（项）。</w:t>
      </w:r>
      <w:r>
        <w:rPr>
          <w:rFonts w:hint="eastAsia" w:ascii="仿宋_GB2312" w:hAnsi="仿宋_GB2312" w:eastAsia="仿宋_GB2312" w:cs="仿宋_GB2312"/>
          <w:b w:val="0"/>
          <w:bCs w:val="0"/>
          <w:sz w:val="32"/>
          <w:szCs w:val="32"/>
          <w:highlight w:val="none"/>
          <w:lang w:val="en-US" w:eastAsia="zh-CN"/>
        </w:rPr>
        <w:t>年初预算数为0 元，支出决算数16,700,000.00元。决算数大于预算数的主要原因:年初预算未安排中央及自治区项目资金。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24.农林水支出（类）农业（款）农业生产支持补贴（项）。</w:t>
      </w:r>
      <w:r>
        <w:rPr>
          <w:rFonts w:hint="eastAsia" w:ascii="仿宋_GB2312" w:hAnsi="仿宋_GB2312" w:eastAsia="仿宋_GB2312" w:cs="仿宋_GB2312"/>
          <w:b w:val="0"/>
          <w:bCs w:val="0"/>
          <w:sz w:val="32"/>
          <w:szCs w:val="32"/>
          <w:highlight w:val="none"/>
          <w:lang w:val="en-US" w:eastAsia="zh-CN"/>
        </w:rPr>
        <w:t>年初预算数为0 元，支出决算数12,493,990.00元。决算数大于预算数的主要原因:一是年初预算未安排中央及自治区项目资金；二是以前年度资金结转至2019年继续使用。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25.农林水支出（类）农业（款）农业组织化与产业化经营（项）。</w:t>
      </w:r>
      <w:r>
        <w:rPr>
          <w:rFonts w:hint="eastAsia" w:ascii="仿宋_GB2312" w:hAnsi="仿宋_GB2312" w:eastAsia="仿宋_GB2312" w:cs="仿宋_GB2312"/>
          <w:b w:val="0"/>
          <w:bCs w:val="0"/>
          <w:sz w:val="32"/>
          <w:szCs w:val="32"/>
          <w:highlight w:val="none"/>
          <w:lang w:val="en-US" w:eastAsia="zh-CN"/>
        </w:rPr>
        <w:t>年初预算数为0 元，支出决算数21,602,416.95元。决算数大于预算数的主要原因:一是年初预算未安排中央及自治区项目资金；二是以前年度资金结转至2019年继续使用。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26.农林水支出（类）农业（款）农村公益事业（项）。</w:t>
      </w:r>
      <w:r>
        <w:rPr>
          <w:rFonts w:hint="eastAsia" w:ascii="仿宋_GB2312" w:hAnsi="仿宋_GB2312" w:eastAsia="仿宋_GB2312" w:cs="仿宋_GB2312"/>
          <w:b w:val="0"/>
          <w:bCs w:val="0"/>
          <w:sz w:val="32"/>
          <w:szCs w:val="32"/>
          <w:highlight w:val="none"/>
          <w:lang w:val="en-US" w:eastAsia="zh-CN"/>
        </w:rPr>
        <w:t>年初预算数为0 元，支出决算数340,000.00元。决算数大于预算数的主要原因:年初预算未安排中央及自治区项目资金。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27.农林水支出（类）农业（款）农业资源保护修复与利用（项）。</w:t>
      </w:r>
      <w:r>
        <w:rPr>
          <w:rFonts w:hint="eastAsia" w:ascii="仿宋_GB2312" w:hAnsi="仿宋_GB2312" w:eastAsia="仿宋_GB2312" w:cs="仿宋_GB2312"/>
          <w:b w:val="0"/>
          <w:bCs w:val="0"/>
          <w:sz w:val="32"/>
          <w:szCs w:val="32"/>
          <w:highlight w:val="none"/>
          <w:lang w:val="en-US" w:eastAsia="zh-CN"/>
        </w:rPr>
        <w:t>年初预算数为0 元，支出决算数30,896,336.00元。决算数大于预算数的主要原因:一是年初预算未安排中央及自治区项目资金；二是以前年度资金结转至2019年继续使用。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28.农林水支出（类）农业（款）其他农业支出（项）。</w:t>
      </w:r>
      <w:r>
        <w:rPr>
          <w:rFonts w:hint="eastAsia" w:ascii="仿宋_GB2312" w:hAnsi="仿宋_GB2312" w:eastAsia="仿宋_GB2312" w:cs="仿宋_GB2312"/>
          <w:b w:val="0"/>
          <w:bCs w:val="0"/>
          <w:sz w:val="32"/>
          <w:szCs w:val="32"/>
          <w:highlight w:val="none"/>
          <w:lang w:val="en-US" w:eastAsia="zh-CN"/>
        </w:rPr>
        <w:t>年初预算数为0.00元，支出决算数72,537,673.97元。决算数大于预算数的主要原因:一是年初预算未安排中央及自治区项目资金；二是以前年度资金结转至2019年继续使用。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29.农林水支出（类）林业和草原（款）森林培育（项）。</w:t>
      </w:r>
      <w:r>
        <w:rPr>
          <w:rFonts w:hint="eastAsia" w:ascii="仿宋_GB2312" w:hAnsi="仿宋_GB2312" w:eastAsia="仿宋_GB2312" w:cs="仿宋_GB2312"/>
          <w:b w:val="0"/>
          <w:bCs w:val="0"/>
          <w:sz w:val="32"/>
          <w:szCs w:val="32"/>
          <w:highlight w:val="none"/>
          <w:lang w:val="en-US" w:eastAsia="zh-CN"/>
        </w:rPr>
        <w:t>年初预算数为0 元，支出决算数1,928,560.00元。决算数大于预算数的主要原因:以前年度资金结转至2019年继续使用。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30.农林水支出（类）林业和草原（款）自然保护区等管理（项）。</w:t>
      </w:r>
      <w:r>
        <w:rPr>
          <w:rFonts w:hint="eastAsia" w:ascii="仿宋_GB2312" w:hAnsi="仿宋_GB2312" w:eastAsia="仿宋_GB2312" w:cs="仿宋_GB2312"/>
          <w:b w:val="0"/>
          <w:bCs w:val="0"/>
          <w:sz w:val="32"/>
          <w:szCs w:val="32"/>
          <w:highlight w:val="none"/>
          <w:lang w:val="en-US" w:eastAsia="zh-CN"/>
        </w:rPr>
        <w:t>年初预算数为0 元，支出决算数19,800.00元。决算数大于预算数的主要原因:年初预算未安排相关资金。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31.农林水支出（类）林业和草原（款）产业化管理（项）。</w:t>
      </w:r>
      <w:r>
        <w:rPr>
          <w:rFonts w:hint="eastAsia" w:ascii="仿宋_GB2312" w:hAnsi="仿宋_GB2312" w:eastAsia="仿宋_GB2312" w:cs="仿宋_GB2312"/>
          <w:b w:val="0"/>
          <w:bCs w:val="0"/>
          <w:sz w:val="32"/>
          <w:szCs w:val="32"/>
          <w:highlight w:val="none"/>
          <w:lang w:val="en-US" w:eastAsia="zh-CN"/>
        </w:rPr>
        <w:t>年初预算数为0 元，支出决算数529,477.72元。决算数大于预算数的主要原因:以前年度资金结转至2019年继续使用。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32.农林水支出（类）林业和草原（款）信息管理（项）。</w:t>
      </w:r>
      <w:r>
        <w:rPr>
          <w:rFonts w:hint="eastAsia" w:ascii="仿宋_GB2312" w:hAnsi="仿宋_GB2312" w:eastAsia="仿宋_GB2312" w:cs="仿宋_GB2312"/>
          <w:b w:val="0"/>
          <w:bCs w:val="0"/>
          <w:sz w:val="32"/>
          <w:szCs w:val="32"/>
          <w:highlight w:val="none"/>
          <w:lang w:val="en-US" w:eastAsia="zh-CN"/>
        </w:rPr>
        <w:t>年初预算数为0 元，支出决算数63,868.00元。决算数大于预算数的主要原因:年初预算未安排中央及自治区项目资金。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33.农林水支出（类）林业和草原（款） 行业业务管理（项）。</w:t>
      </w:r>
      <w:r>
        <w:rPr>
          <w:rFonts w:hint="eastAsia" w:ascii="仿宋_GB2312" w:hAnsi="仿宋_GB2312" w:eastAsia="仿宋_GB2312" w:cs="仿宋_GB2312"/>
          <w:b w:val="0"/>
          <w:bCs w:val="0"/>
          <w:sz w:val="32"/>
          <w:szCs w:val="32"/>
          <w:highlight w:val="none"/>
          <w:lang w:val="en-US" w:eastAsia="zh-CN"/>
        </w:rPr>
        <w:t>年初预算数为0 元，支出决算数46,000.00元。决算数大于预算数的主要原因:年初预算未安排中央及自治区项目资金。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34.农林水支出（类）水利（款）农田水利（项）。</w:t>
      </w:r>
      <w:r>
        <w:rPr>
          <w:rFonts w:hint="eastAsia" w:ascii="仿宋_GB2312" w:hAnsi="仿宋_GB2312" w:eastAsia="仿宋_GB2312" w:cs="仿宋_GB2312"/>
          <w:b w:val="0"/>
          <w:bCs w:val="0"/>
          <w:sz w:val="32"/>
          <w:szCs w:val="32"/>
          <w:highlight w:val="none"/>
          <w:lang w:val="en-US" w:eastAsia="zh-CN"/>
        </w:rPr>
        <w:t>年初预算数为0 元，支出决算数3,320.00元。决算数大于预算数的主要原因:以前年度资金结转至2019年继续使用。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35.农林水支出（类）普惠金融发展支出（款）农业保险保费补贴（项）。</w:t>
      </w:r>
      <w:r>
        <w:rPr>
          <w:rFonts w:hint="eastAsia" w:ascii="仿宋_GB2312" w:hAnsi="仿宋_GB2312" w:eastAsia="仿宋_GB2312" w:cs="仿宋_GB2312"/>
          <w:b w:val="0"/>
          <w:bCs w:val="0"/>
          <w:sz w:val="32"/>
          <w:szCs w:val="32"/>
          <w:highlight w:val="none"/>
          <w:lang w:val="en-US" w:eastAsia="zh-CN"/>
        </w:rPr>
        <w:t>年初预算数为0元，支出决算数3,177,836.00元。决算数大于预算数的主要原因:年初预算未安排相关资金，年中追加指标。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36.农林水支出（类）其他农林水支出（款）其他农林水支出（项）。</w:t>
      </w:r>
      <w:r>
        <w:rPr>
          <w:rFonts w:hint="eastAsia" w:ascii="仿宋_GB2312" w:hAnsi="仿宋_GB2312" w:eastAsia="仿宋_GB2312" w:cs="仿宋_GB2312"/>
          <w:b w:val="0"/>
          <w:bCs w:val="0"/>
          <w:sz w:val="32"/>
          <w:szCs w:val="32"/>
          <w:highlight w:val="none"/>
          <w:lang w:val="en-US" w:eastAsia="zh-CN"/>
        </w:rPr>
        <w:t>年初预算数为0，支出决算数12,319,740.00元。决算数大于预算数的主要原因:年初预算未安排中央及自治区项目资金。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37.住房保障支出（类）住房改革支出（款） 住房公积金（项）。</w:t>
      </w:r>
      <w:r>
        <w:rPr>
          <w:rFonts w:hint="eastAsia" w:ascii="仿宋_GB2312" w:hAnsi="仿宋_GB2312" w:eastAsia="仿宋_GB2312" w:cs="仿宋_GB2312"/>
          <w:b w:val="0"/>
          <w:bCs w:val="0"/>
          <w:sz w:val="32"/>
          <w:szCs w:val="32"/>
          <w:highlight w:val="none"/>
          <w:lang w:val="en-US" w:eastAsia="zh-CN"/>
        </w:rPr>
        <w:t>年初预算数为128,102.10元，支出决算数77,400.00 元，完成年初预算的165.51%。决算数大于预算数的主要原因:2019年将政府效能奖、未休年休假补贴和民族团结奖等项目纳入住房公积金缴费基础。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default"/>
        </w:rPr>
      </w:pPr>
      <w:r>
        <w:rPr>
          <w:rFonts w:hint="eastAsia" w:ascii="仿宋_GB2312" w:hAnsi="仿宋_GB2312" w:eastAsia="仿宋_GB2312" w:cs="仿宋_GB2312"/>
          <w:b/>
          <w:bCs/>
          <w:sz w:val="32"/>
          <w:szCs w:val="32"/>
          <w:highlight w:val="none"/>
          <w:lang w:val="en-US" w:eastAsia="zh-CN"/>
        </w:rPr>
        <w:t>38.粮油物资储备支出（类）粮油储备（款）储备粮油补贴（项）。</w:t>
      </w:r>
      <w:r>
        <w:rPr>
          <w:rFonts w:hint="eastAsia" w:ascii="仿宋_GB2312" w:hAnsi="仿宋_GB2312" w:eastAsia="仿宋_GB2312" w:cs="仿宋_GB2312"/>
          <w:b w:val="0"/>
          <w:bCs w:val="0"/>
          <w:sz w:val="32"/>
          <w:szCs w:val="32"/>
          <w:highlight w:val="none"/>
          <w:lang w:val="en-US" w:eastAsia="zh-CN"/>
        </w:rPr>
        <w:t>年初预算数为0 元，支出决算数445,683.00元。决算数大于预算数的主要原因:年初预算未安排相关资金，年中追加指标。</w:t>
      </w:r>
    </w:p>
    <w:p>
      <w:pPr>
        <w:wordWrap/>
        <w:snapToGrid/>
        <w:spacing w:line="560" w:lineRule="exact"/>
        <w:ind w:right="0" w:firstLine="0" w:firstLineChars="0"/>
        <w:textAlignment w:val="auto"/>
        <w:outlineLvl w:val="1"/>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color w:val="auto"/>
          <w:kern w:val="0"/>
          <w:sz w:val="32"/>
          <w:szCs w:val="32"/>
        </w:rPr>
        <w:t>六、一般公共预算财政拨款基本支出决算情况说明</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 xml:space="preserve">年度一般公共预算财政拨款基本支出1,525,596.61元，其中：人员经费1,378,873.18元，公用经费146,723.43元。支出具体情况如下： </w:t>
      </w:r>
    </w:p>
    <w:p>
      <w:pPr>
        <w:pStyle w:val="7"/>
        <w:numPr>
          <w:ilvl w:val="0"/>
          <w:numId w:val="0"/>
        </w:numPr>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1.工资福利支出1,372,873.18元，较201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90573.18万</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7.06</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是2019年将政府效能奖、未休年休假补贴和民族团结奖等项目纳入住房公积金缴费基础</w:t>
      </w:r>
      <w:r>
        <w:rPr>
          <w:rFonts w:hint="eastAsia" w:ascii="Times New Roman" w:hAnsi="Times New Roman" w:eastAsia="仿宋_GB2312" w:cs="Times New Roman"/>
          <w:color w:val="auto"/>
          <w:sz w:val="32"/>
          <w:szCs w:val="32"/>
          <w:lang w:eastAsia="zh-CN"/>
        </w:rPr>
        <w:t>；二是晋级增资</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198,891.18</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16.94</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2.商品和服务支出146,723.43元，较201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年度年初预算数减少</w:t>
      </w:r>
      <w:r>
        <w:rPr>
          <w:rFonts w:hint="eastAsia" w:ascii="Times New Roman" w:hAnsi="Times New Roman" w:eastAsia="仿宋_GB2312" w:cs="Times New Roman"/>
          <w:color w:val="auto"/>
          <w:sz w:val="32"/>
          <w:szCs w:val="32"/>
          <w:lang w:val="en-US" w:eastAsia="zh-CN"/>
        </w:rPr>
        <w:t>576.57</w:t>
      </w:r>
      <w:r>
        <w:rPr>
          <w:rFonts w:hint="default"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0.39</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厉行节约办公经费</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决算数减少</w:t>
      </w:r>
      <w:r>
        <w:rPr>
          <w:rFonts w:hint="eastAsia" w:ascii="Times New Roman" w:hAnsi="Times New Roman" w:eastAsia="仿宋_GB2312" w:cs="Times New Roman"/>
          <w:color w:val="auto"/>
          <w:sz w:val="32"/>
          <w:szCs w:val="32"/>
          <w:lang w:val="en-US" w:eastAsia="zh-CN"/>
        </w:rPr>
        <w:t>27,533.50</w:t>
      </w:r>
      <w:r>
        <w:rPr>
          <w:rFonts w:hint="default"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15.80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3.对个人和家庭的补助6,000.00元，较201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年度年初预算数增加6,000.00元，增长</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新增退休人员，退休费增加</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rPr>
        <w:t>6,000.00元，</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4.资本性支出</w:t>
      </w:r>
      <w:r>
        <w:rPr>
          <w:rFonts w:hint="default" w:ascii="Times New Roman" w:hAnsi="Times New Roman" w:eastAsia="仿宋_GB2312" w:cs="Times New Roman"/>
          <w:sz w:val="32"/>
          <w:szCs w:val="32"/>
          <w:lang w:eastAsia="zh-CN"/>
        </w:rPr>
        <w:t>（基本建设）</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.资本性支出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对企业补助（基本建设）</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7"/>
        <w:wordWrap/>
        <w:snapToGrid/>
        <w:spacing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8.其他支出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元，较2019年度年初预算数增加</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元，增长</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%；主要原因</w:t>
      </w: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；较2018年度决算数增加</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元，增长</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outlineLvl w:val="1"/>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 xml:space="preserve"> 七、一般公共预算财政拨款“三公”经费支出决算情况说明</w:t>
      </w:r>
    </w:p>
    <w:p>
      <w:pPr>
        <w:wordWrap/>
        <w:autoSpaceDE w:val="0"/>
        <w:autoSpaceDN w:val="0"/>
        <w:adjustRightInd w:val="0"/>
        <w:snapToGrid/>
        <w:spacing w:line="560" w:lineRule="exact"/>
        <w:ind w:left="477" w:leftChars="227" w:right="0" w:firstLine="154" w:firstLineChars="48"/>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（一）“三公”经费</w:t>
      </w:r>
      <w:r>
        <w:rPr>
          <w:rFonts w:hint="default" w:ascii="Times New Roman" w:hAnsi="Times New Roman" w:eastAsia="仿宋_GB2312" w:cs="Times New Roman"/>
          <w:b/>
          <w:kern w:val="0"/>
          <w:sz w:val="32"/>
          <w:szCs w:val="32"/>
          <w:lang w:eastAsia="zh-CN"/>
        </w:rPr>
        <w:t>一般公共预算</w:t>
      </w:r>
      <w:r>
        <w:rPr>
          <w:rFonts w:hint="default" w:ascii="Times New Roman" w:hAnsi="Times New Roman" w:eastAsia="仿宋_GB2312" w:cs="Times New Roman"/>
          <w:b/>
          <w:kern w:val="0"/>
          <w:sz w:val="32"/>
          <w:szCs w:val="32"/>
        </w:rPr>
        <w:t>财政拨款支出决算</w:t>
      </w:r>
    </w:p>
    <w:p>
      <w:pPr>
        <w:wordWrap/>
        <w:autoSpaceDE w:val="0"/>
        <w:autoSpaceDN w:val="0"/>
        <w:adjustRightInd w:val="0"/>
        <w:snapToGrid/>
        <w:spacing w:line="560" w:lineRule="exact"/>
        <w:ind w:left="0" w:leftChars="0" w:right="0" w:firstLine="151" w:firstLineChars="47"/>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lang w:eastAsia="zh-CN"/>
        </w:rPr>
        <w:t>总</w:t>
      </w:r>
      <w:r>
        <w:rPr>
          <w:rFonts w:hint="default" w:ascii="Times New Roman" w:hAnsi="Times New Roman" w:eastAsia="仿宋_GB2312" w:cs="Times New Roman"/>
          <w:b/>
          <w:kern w:val="0"/>
          <w:sz w:val="32"/>
          <w:szCs w:val="32"/>
        </w:rPr>
        <w:t>体情况说明</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财政拨款支出预算为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年度“三公”经费支出决算数小于（大于）预算数的主要原因：</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w:t>
      </w:r>
    </w:p>
    <w:p>
      <w:pPr>
        <w:wordWrap/>
        <w:autoSpaceDE w:val="0"/>
        <w:autoSpaceDN w:val="0"/>
        <w:adjustRightInd w:val="0"/>
        <w:snapToGrid/>
        <w:spacing w:line="560" w:lineRule="exact"/>
        <w:ind w:right="0" w:firstLine="656" w:firstLineChars="205"/>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财政拨款支出决算数比201</w:t>
      </w:r>
      <w:r>
        <w:rPr>
          <w:rFonts w:hint="default" w:ascii="Times New Roman" w:hAnsi="Times New Roman" w:eastAsia="仿宋_GB2312" w:cs="Times New Roman"/>
          <w:kern w:val="0"/>
          <w:sz w:val="32"/>
          <w:szCs w:val="32"/>
          <w:lang w:val="en-US" w:eastAsia="zh-CN"/>
        </w:rPr>
        <w:t>8年度</w:t>
      </w:r>
      <w:r>
        <w:rPr>
          <w:rFonts w:hint="default" w:ascii="Times New Roman" w:hAnsi="Times New Roman" w:eastAsia="仿宋_GB2312" w:cs="Times New Roman"/>
          <w:kern w:val="0"/>
          <w:sz w:val="32"/>
          <w:szCs w:val="32"/>
        </w:rPr>
        <w:t>减少（增加）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%，其中：因公出国（境）费支出决算减少（增加）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%；公务用车购置及运行费支出决算减少（增加）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%；公务接待费支出决算减少（增加）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%；因公出国（境）费支出减少（增加）的主要原因是</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；公务用车购置及运行费支出减少（增加）的主要原因是</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公务接待费支出减少（增加）</w:t>
      </w:r>
      <w:r>
        <w:rPr>
          <w:rFonts w:hint="default" w:ascii="Times New Roman" w:hAnsi="Times New Roman" w:eastAsia="仿宋_GB2312" w:cs="Times New Roman"/>
          <w:kern w:val="0"/>
          <w:sz w:val="32"/>
          <w:szCs w:val="32"/>
          <w:lang w:eastAsia="zh-CN"/>
        </w:rPr>
        <w:t>的主要原因是</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w:t>
      </w:r>
    </w:p>
    <w:p>
      <w:pPr>
        <w:pStyle w:val="7"/>
        <w:wordWrap/>
        <w:snapToGrid/>
        <w:spacing w:line="560"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（二）“三公”经费</w:t>
      </w:r>
      <w:r>
        <w:rPr>
          <w:rFonts w:hint="default" w:ascii="Times New Roman" w:hAnsi="Times New Roman" w:eastAsia="仿宋_GB2312" w:cs="Times New Roman"/>
          <w:b/>
          <w:sz w:val="32"/>
          <w:szCs w:val="32"/>
          <w:lang w:eastAsia="zh-CN"/>
        </w:rPr>
        <w:t>一般公共预算</w:t>
      </w:r>
      <w:r>
        <w:rPr>
          <w:rFonts w:hint="default" w:ascii="Times New Roman" w:hAnsi="Times New Roman" w:eastAsia="仿宋_GB2312" w:cs="Times New Roman"/>
          <w:b/>
          <w:sz w:val="32"/>
          <w:szCs w:val="32"/>
        </w:rPr>
        <w:t>财政拨款支出决算具体情况说明。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年度“三公”经费</w:t>
      </w:r>
      <w:r>
        <w:rPr>
          <w:rFonts w:hint="default" w:ascii="Times New Roman" w:hAnsi="Times New Roman"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财政拨款支出决算中，因公出国（境）费支出决算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%。具体情况如下：</w:t>
      </w:r>
    </w:p>
    <w:p>
      <w:pPr>
        <w:pStyle w:val="7"/>
        <w:wordWrap/>
        <w:snapToGrid/>
        <w:spacing w:line="560" w:lineRule="exact"/>
        <w:ind w:right="0" w:firstLine="630"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1.因公出国（境）费</w:t>
      </w:r>
      <w:r>
        <w:rPr>
          <w:rFonts w:hint="default" w:ascii="Times New Roman" w:hAnsi="Times New Roman" w:eastAsia="仿宋_GB2312" w:cs="Times New Roman"/>
          <w:b w:val="0"/>
          <w:bCs/>
          <w:color w:val="auto"/>
          <w:sz w:val="32"/>
          <w:szCs w:val="32"/>
          <w:lang w:eastAsia="zh-CN"/>
        </w:rPr>
        <w:t>预算为</w:t>
      </w:r>
      <w:r>
        <w:rPr>
          <w:rFonts w:hint="eastAsia"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因公出国（境）团组数</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。开支内容包括：</w:t>
      </w:r>
      <w:r>
        <w:rPr>
          <w:rFonts w:hint="eastAsia" w:ascii="Times New Roman" w:hAnsi="Times New Roman" w:eastAsia="仿宋_GB2312" w:cs="Times New Roman"/>
          <w:color w:val="auto"/>
          <w:sz w:val="32"/>
          <w:szCs w:val="32"/>
          <w:lang w:eastAsia="zh-CN"/>
        </w:rPr>
        <w:t>无开支</w:t>
      </w:r>
      <w:r>
        <w:rPr>
          <w:rFonts w:hint="default" w:ascii="Times New Roman" w:hAnsi="Times New Roman" w:eastAsia="仿宋_GB2312" w:cs="Times New Roman"/>
          <w:color w:val="auto"/>
          <w:sz w:val="32"/>
          <w:szCs w:val="32"/>
        </w:rPr>
        <w:t xml:space="preserve">。 </w:t>
      </w:r>
    </w:p>
    <w:p>
      <w:pPr>
        <w:wordWrap/>
        <w:autoSpaceDE w:val="0"/>
        <w:autoSpaceDN w:val="0"/>
        <w:adjustRightInd w:val="0"/>
        <w:snapToGrid/>
        <w:spacing w:line="560" w:lineRule="exact"/>
        <w:ind w:right="0"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2.公务用车购置及运行维护费</w:t>
      </w:r>
      <w:r>
        <w:rPr>
          <w:rFonts w:hint="default" w:ascii="Times New Roman" w:hAnsi="Times New Roman" w:eastAsia="仿宋_GB2312" w:cs="Times New Roman"/>
          <w:kern w:val="0"/>
          <w:sz w:val="32"/>
          <w:szCs w:val="32"/>
          <w:lang w:eastAsia="zh-CN"/>
        </w:rPr>
        <w:t>预算为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元，公务用车运行维护费支出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元，主要</w:t>
      </w:r>
      <w:r>
        <w:rPr>
          <w:rFonts w:hint="eastAsia" w:ascii="Times New Roman" w:hAnsi="Times New Roman" w:eastAsia="仿宋_GB2312" w:cs="Times New Roman"/>
          <w:kern w:val="0"/>
          <w:sz w:val="32"/>
          <w:szCs w:val="32"/>
          <w:lang w:eastAsia="zh-CN"/>
        </w:rPr>
        <w:t>本单位无公车</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度一般公共预算</w:t>
      </w:r>
      <w:r>
        <w:rPr>
          <w:rFonts w:hint="default" w:ascii="Times New Roman" w:hAnsi="Times New Roman" w:eastAsia="仿宋_GB2312" w:cs="Times New Roman"/>
          <w:kern w:val="0"/>
          <w:sz w:val="32"/>
          <w:szCs w:val="32"/>
        </w:rPr>
        <w:t>财政拨款开支的公务用车购置数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辆。 </w:t>
      </w:r>
    </w:p>
    <w:p>
      <w:pPr>
        <w:wordWrap/>
        <w:autoSpaceDE w:val="0"/>
        <w:autoSpaceDN w:val="0"/>
        <w:adjustRightInd w:val="0"/>
        <w:snapToGrid/>
        <w:spacing w:line="560" w:lineRule="exact"/>
        <w:ind w:right="0"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3.公务接待费</w:t>
      </w:r>
      <w:r>
        <w:rPr>
          <w:rFonts w:hint="default" w:ascii="Times New Roman" w:hAnsi="Times New Roman" w:eastAsia="仿宋_GB2312" w:cs="Times New Roman"/>
          <w:b w:val="0"/>
          <w:bCs/>
          <w:kern w:val="0"/>
          <w:sz w:val="32"/>
          <w:szCs w:val="32"/>
          <w:lang w:eastAsia="zh-CN"/>
        </w:rPr>
        <w:t>预算为</w:t>
      </w:r>
      <w:r>
        <w:rPr>
          <w:rFonts w:hint="eastAsia" w:ascii="Times New Roman" w:hAnsi="Times New Roman" w:eastAsia="仿宋_GB2312" w:cs="Times New Roman"/>
          <w:b w:val="0"/>
          <w:bCs/>
          <w:kern w:val="0"/>
          <w:sz w:val="32"/>
          <w:szCs w:val="32"/>
          <w:lang w:val="en-US" w:eastAsia="zh-CN"/>
        </w:rPr>
        <w:t>0</w:t>
      </w:r>
      <w:r>
        <w:rPr>
          <w:rFonts w:hint="default" w:ascii="Times New Roman" w:hAnsi="Times New Roman" w:eastAsia="仿宋_GB2312" w:cs="Times New Roman"/>
          <w:b w:val="0"/>
          <w:bCs/>
          <w:kern w:val="0"/>
          <w:sz w:val="32"/>
          <w:szCs w:val="32"/>
        </w:rPr>
        <w:t>元</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%。其中：国内接待费支出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元，主要</w:t>
      </w:r>
      <w:r>
        <w:rPr>
          <w:rFonts w:hint="eastAsia" w:ascii="Times New Roman" w:hAnsi="Times New Roman" w:eastAsia="仿宋_GB2312" w:cs="Times New Roman"/>
          <w:kern w:val="0"/>
          <w:sz w:val="32"/>
          <w:szCs w:val="32"/>
          <w:lang w:eastAsia="zh-CN"/>
        </w:rPr>
        <w:t>原因无</w:t>
      </w:r>
      <w:r>
        <w:rPr>
          <w:rFonts w:hint="default" w:ascii="Times New Roman" w:hAnsi="Times New Roman" w:eastAsia="仿宋_GB2312" w:cs="Times New Roman"/>
          <w:kern w:val="0"/>
          <w:sz w:val="32"/>
          <w:szCs w:val="32"/>
        </w:rPr>
        <w:t>。国（境）外接待费支出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元，主要</w:t>
      </w:r>
      <w:r>
        <w:rPr>
          <w:rFonts w:hint="eastAsia" w:ascii="Times New Roman" w:hAnsi="Times New Roman" w:eastAsia="仿宋_GB2312" w:cs="Times New Roman"/>
          <w:kern w:val="0"/>
          <w:sz w:val="32"/>
          <w:szCs w:val="32"/>
          <w:lang w:eastAsia="zh-CN"/>
        </w:rPr>
        <w:t>原因无</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国内公务接待批次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pPr>
        <w:wordWrap/>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八、政府性基金预算财政拨款收入支出决算情况说明</w:t>
      </w:r>
    </w:p>
    <w:p>
      <w:pPr>
        <w:pStyle w:val="7"/>
        <w:wordWrap/>
        <w:snapToGrid/>
        <w:spacing w:line="560" w:lineRule="exact"/>
        <w:ind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lang w:eastAsia="zh-CN"/>
        </w:rPr>
        <w:t>。</w:t>
      </w:r>
    </w:p>
    <w:p>
      <w:pPr>
        <w:pStyle w:val="7"/>
        <w:wordWrap/>
        <w:snapToGrid/>
        <w:spacing w:line="560" w:lineRule="exact"/>
        <w:ind w:right="0" w:firstLine="643" w:firstLineChars="200"/>
        <w:textAlignment w:val="auto"/>
        <w:rPr>
          <w:rFonts w:hint="default" w:ascii="Times New Roman" w:hAnsi="Times New Roman" w:cs="Times New Roman"/>
        </w:rPr>
      </w:pPr>
      <w:r>
        <w:rPr>
          <w:rFonts w:hint="default" w:ascii="Times New Roman" w:hAnsi="Times New Roman" w:eastAsia="楷体_GB2312" w:cs="Times New Roman"/>
          <w:b/>
          <w:bCs/>
          <w:kern w:val="0"/>
          <w:sz w:val="32"/>
          <w:szCs w:val="32"/>
          <w:lang w:val="en-US" w:eastAsia="zh-CN" w:bidi="ar-SA"/>
        </w:rPr>
        <w:t>九、其他重要事项的情况说明</w:t>
      </w:r>
    </w:p>
    <w:p>
      <w:pPr>
        <w:wordWrap/>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（一）机关运行经费支出情况说明</w:t>
      </w:r>
    </w:p>
    <w:p>
      <w:pPr>
        <w:wordWrap/>
        <w:snapToGrid/>
        <w:spacing w:line="560" w:lineRule="exact"/>
        <w:ind w:right="0" w:firstLine="640"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本部门机关运行经费支出146,723.43元</w:t>
      </w:r>
      <w:r>
        <w:rPr>
          <w:rFonts w:hint="default" w:ascii="Times New Roman" w:hAnsi="Times New Roman" w:eastAsia="仿宋_GB2312" w:cs="Times New Roman"/>
          <w:color w:val="000000"/>
          <w:sz w:val="30"/>
        </w:rPr>
        <w:t>，</w:t>
      </w:r>
      <w:r>
        <w:rPr>
          <w:rFonts w:hint="default" w:ascii="Times New Roman" w:hAnsi="Times New Roman" w:eastAsia="仿宋_GB2312" w:cs="Times New Roman"/>
          <w:kern w:val="0"/>
          <w:sz w:val="32"/>
          <w:szCs w:val="32"/>
        </w:rPr>
        <w:t>比201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减少27,533.50元，下降</w:t>
      </w:r>
      <w:r>
        <w:rPr>
          <w:rFonts w:hint="eastAsia" w:ascii="Times New Roman" w:hAnsi="Times New Roman" w:eastAsia="仿宋_GB2312" w:cs="Times New Roman"/>
          <w:kern w:val="0"/>
          <w:sz w:val="32"/>
          <w:szCs w:val="32"/>
          <w:lang w:val="en-US" w:eastAsia="zh-CN"/>
        </w:rPr>
        <w:t>15.80</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厉行节约办公经费</w:t>
      </w:r>
      <w:r>
        <w:rPr>
          <w:rFonts w:hint="default" w:ascii="Times New Roman" w:hAnsi="Times New Roman" w:eastAsia="仿宋_GB2312" w:cs="Times New Roman"/>
          <w:kern w:val="0"/>
          <w:sz w:val="32"/>
          <w:szCs w:val="32"/>
        </w:rPr>
        <w:t xml:space="preserve">。 </w:t>
      </w:r>
    </w:p>
    <w:p>
      <w:pPr>
        <w:wordWrap/>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（二）政府采购情况说明</w:t>
      </w:r>
    </w:p>
    <w:p>
      <w:pPr>
        <w:widowControl/>
        <w:wordWrap/>
        <w:snapToGrid/>
        <w:spacing w:line="560" w:lineRule="exact"/>
        <w:ind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度本部门</w:t>
      </w:r>
      <w:r>
        <w:rPr>
          <w:rFonts w:hint="default" w:ascii="Times New Roman" w:hAnsi="Times New Roman" w:eastAsia="仿宋_GB2312" w:cs="Times New Roman"/>
          <w:kern w:val="0"/>
          <w:sz w:val="32"/>
          <w:szCs w:val="32"/>
        </w:rPr>
        <w:t>政府采购支出总额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其中：政府采购货物支出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政府采购工程支出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政府采购服务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授予中小企业合同金额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，其中：授予小微企业合同金额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p>
    <w:p>
      <w:pPr>
        <w:wordWrap/>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（三）国有资产占有使用情况说明</w:t>
      </w:r>
    </w:p>
    <w:p>
      <w:pPr>
        <w:widowControl/>
        <w:wordWrap/>
        <w:snapToGrid/>
        <w:spacing w:line="560" w:lineRule="exact"/>
        <w:ind w:right="0" w:firstLine="480"/>
        <w:jc w:val="left"/>
        <w:textAlignment w:val="auto"/>
        <w:rPr>
          <w:rFonts w:hint="default"/>
        </w:rPr>
      </w:pPr>
      <w:r>
        <w:rPr>
          <w:rFonts w:hint="default" w:ascii="Times New Roman" w:hAnsi="Times New Roman" w:eastAsia="仿宋_GB2312" w:cs="Times New Roman"/>
          <w:kern w:val="0"/>
          <w:sz w:val="32"/>
          <w:szCs w:val="32"/>
        </w:rPr>
        <w:t>截至201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年12月31日，本部门房屋面积</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wordWrap/>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（四）预算绩效管理工作开展情况</w:t>
      </w:r>
      <w:r>
        <w:rPr>
          <w:rFonts w:hint="default" w:ascii="Times New Roman" w:hAnsi="Times New Roman" w:eastAsia="仿宋_GB2312" w:cs="Times New Roman"/>
          <w:b/>
          <w:kern w:val="0"/>
          <w:sz w:val="32"/>
          <w:szCs w:val="32"/>
          <w:lang w:eastAsia="zh-CN"/>
        </w:rPr>
        <w:t>说明</w:t>
      </w:r>
    </w:p>
    <w:p>
      <w:pPr>
        <w:wordWrap/>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1.绩效管理工作开展情况。 </w:t>
      </w:r>
      <w:r>
        <w:rPr>
          <w:rFonts w:hint="default" w:ascii="Times New Roman" w:hAnsi="Times New Roman" w:eastAsia="仿宋_GB2312" w:cs="Times New Roman"/>
          <w:kern w:val="0"/>
          <w:sz w:val="32"/>
          <w:szCs w:val="32"/>
        </w:rPr>
        <w:t>根据预算</w:t>
      </w:r>
      <w:r>
        <w:rPr>
          <w:rFonts w:hint="default" w:ascii="Times New Roman" w:hAnsi="Times New Roman" w:eastAsia="仿宋_GB2312" w:cs="Times New Roman"/>
          <w:kern w:val="0"/>
          <w:sz w:val="32"/>
          <w:szCs w:val="32"/>
          <w:lang w:eastAsia="zh-CN"/>
        </w:rPr>
        <w:t>绩效</w:t>
      </w:r>
      <w:r>
        <w:rPr>
          <w:rFonts w:hint="default" w:ascii="Times New Roman" w:hAnsi="Times New Roman" w:eastAsia="仿宋_GB2312" w:cs="Times New Roman"/>
          <w:kern w:val="0"/>
          <w:sz w:val="32"/>
          <w:szCs w:val="32"/>
        </w:rPr>
        <w:t>管理要求，</w:t>
      </w:r>
      <w:r>
        <w:rPr>
          <w:rFonts w:hint="eastAsia" w:ascii="Times New Roman" w:hAnsi="Times New Roman" w:eastAsia="仿宋_GB2312" w:cs="Times New Roman"/>
          <w:kern w:val="0"/>
          <w:sz w:val="32"/>
          <w:szCs w:val="32"/>
          <w:lang w:eastAsia="zh-CN"/>
        </w:rPr>
        <w:t>本部门</w:t>
      </w:r>
      <w:r>
        <w:rPr>
          <w:rFonts w:hint="default" w:ascii="Times New Roman" w:hAnsi="Times New Roman" w:eastAsia="仿宋_GB2312" w:cs="Times New Roman"/>
          <w:kern w:val="0"/>
          <w:sz w:val="32"/>
          <w:szCs w:val="32"/>
        </w:rPr>
        <w:t>组织对201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年度一般公共预算项目支出全面开展绩效自评。其中，一级项目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w:t>
      </w:r>
    </w:p>
    <w:p>
      <w:pPr>
        <w:wordWrap/>
        <w:snapToGrid/>
        <w:spacing w:after="0" w:line="560" w:lineRule="exact"/>
        <w:ind w:right="0" w:firstLine="643"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2.部门决算中项目绩效自评结果</w:t>
      </w: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kern w:val="0"/>
          <w:sz w:val="32"/>
          <w:szCs w:val="32"/>
          <w:lang w:eastAsia="zh-CN"/>
        </w:rPr>
        <w:t>我局</w:t>
      </w:r>
      <w:r>
        <w:rPr>
          <w:rFonts w:hint="default"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lang w:eastAsia="zh-CN"/>
        </w:rPr>
        <w:t>未</w:t>
      </w:r>
      <w:r>
        <w:rPr>
          <w:rFonts w:hint="default" w:ascii="Times New Roman" w:hAnsi="Times New Roman" w:eastAsia="仿宋_GB2312" w:cs="Times New Roman"/>
          <w:kern w:val="0"/>
          <w:sz w:val="32"/>
          <w:szCs w:val="32"/>
        </w:rPr>
        <w:t>增加项目绩效评价结果。根据年初设定的绩效目标，</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项目自评得分。发现的主要问题：部门预算编制不够全面。下一步改进措施：一是加大部门收入预算编制的完整性。二是规范单位财务管理，严格财经制度，规范财务管理，提高管理水平。</w:t>
      </w:r>
    </w:p>
    <w:p>
      <w:pPr>
        <w:wordWrap/>
        <w:snapToGrid/>
        <w:spacing w:after="0" w:line="560" w:lineRule="exact"/>
        <w:ind w:right="0" w:firstLine="643" w:firstLineChars="200"/>
        <w:textAlignment w:val="auto"/>
        <w:outlineLvl w:val="1"/>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3.以财政厅为主体开展的重点项目绩效评价结果。</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无以财政厅为主体开展的重点项目绩效评价。</w:t>
      </w:r>
    </w:p>
    <w:p>
      <w:pPr>
        <w:wordWrap/>
        <w:snapToGrid/>
        <w:spacing w:after="0" w:line="560" w:lineRule="exact"/>
        <w:ind w:right="0" w:firstLine="643" w:firstLineChars="200"/>
        <w:textAlignment w:val="auto"/>
        <w:outlineLvl w:val="1"/>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4.以部门为主体开展的重点项目绩效评价结果。</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无以本部门为主体开展的重点项目绩效评价。</w:t>
      </w:r>
    </w:p>
    <w:p>
      <w:pPr>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br w:type="page"/>
      </w:r>
    </w:p>
    <w:p>
      <w:pPr>
        <w:widowControl w:val="0"/>
        <w:wordWrap/>
        <w:adjustRightInd/>
        <w:snapToGrid/>
        <w:spacing w:beforeLines="50"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第四部分  名词解释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1、财政拨款收入：指单位从同级财政部门取得的财政预算资金。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2、基本支出：指单位为保障其机构正常运转、完 成日常工作任务而发生的人员支出和公用支出。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3、项目支出：指单位为完成特定行政任务和事业发展目标在基本支出之外所发生的支出。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4、年末结转和结余：指单位按有关规定结转到下年或以后年度继续使用的资金。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5、年初结转和结余：指单位以前年度尚未完成、结转到本年按有关规定继续使用的资金。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6、人员经费 ：指单位用于职工个人方面的费用支出。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7、日常公用经费：是指单位用一般公共预算财政拨款安排的除人员经费以外的基本支出。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8、项目支出：指单位为完成特定行政任务和事业发展目标在基本支出之外所发生的支出。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9、三公经费支出：指政府部门人员因公出国（境）经费、公务车购置及运行费、公务招待费产生的消费。</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公务接待费：是指具有社会公共管理职能的党政机关及其公职人员，对因履行社会公共管理职责而来访的公职人员，使用政府公共财政资金和其他公共资金，为其提供必要的生活与工作服务的社会交往过程产生的相关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11、公务用车购置及支行维护费：是指公务用车在购置和使用过程中产生的费用。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12、科技转化与推广服务：反映用于农业科技成果转化，农业新品种、新机具、新技术引进、试验、示范、推广及服务等方面支出。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病虫害控制：反映用于病虫鼠害及疫情监测、预报、预防、控制、检疫、防疫所需的仪器、设施、药物、疫苗、种苗，疫畜（禽、鱼、植物）防治、扑杀补偿及劳务补助、菌（毒）种保藏及动植物及其产品检疫、检测等方面的支出。</w:t>
      </w:r>
    </w:p>
    <w:p>
      <w:pPr>
        <w:wordWrap/>
        <w:adjustRightInd/>
        <w:snapToGrid/>
        <w:spacing w:line="560" w:lineRule="exact"/>
        <w:ind w:left="0" w:leftChars="0" w:right="0"/>
        <w:textAlignment w:val="auto"/>
        <w:rPr>
          <w:rFonts w:hint="default" w:ascii="Times New Roman" w:hAnsi="Times New Roman" w:eastAsia="宋体" w:cs="Times New Roman"/>
          <w:lang w:val="en-US" w:eastAsia="zh-CN"/>
        </w:rPr>
      </w:pPr>
    </w:p>
    <w:p>
      <w:pPr>
        <w:rPr>
          <w:rFonts w:hint="default" w:ascii="Times New Roman" w:hAnsi="Times New Roman" w:eastAsia="黑体" w:cs="Times New Roman"/>
          <w:b w:val="0"/>
          <w:kern w:val="0"/>
          <w:sz w:val="36"/>
          <w:szCs w:val="36"/>
          <w:lang w:eastAsia="zh-CN"/>
        </w:rPr>
      </w:pPr>
      <w:r>
        <w:rPr>
          <w:rFonts w:hint="default" w:ascii="Times New Roman" w:hAnsi="Times New Roman" w:eastAsia="黑体" w:cs="Times New Roman"/>
          <w:b w:val="0"/>
          <w:kern w:val="0"/>
          <w:sz w:val="36"/>
          <w:szCs w:val="36"/>
          <w:lang w:eastAsia="zh-CN"/>
        </w:rPr>
        <w:br w:type="page"/>
      </w:r>
    </w:p>
    <w:p>
      <w:pPr>
        <w:widowControl w:val="0"/>
        <w:wordWrap/>
        <w:adjustRightInd/>
        <w:snapToGrid/>
        <w:spacing w:beforeLines="50"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lang w:val="en-US" w:eastAsia="zh-CN"/>
        </w:rPr>
      </w:pPr>
      <w:bookmarkStart w:id="0" w:name="_GoBack"/>
      <w:bookmarkEnd w:id="0"/>
      <w:r>
        <w:rPr>
          <w:rFonts w:hint="default" w:ascii="Times New Roman" w:hAnsi="Times New Roman" w:eastAsia="黑体" w:cs="Times New Roman"/>
          <w:b w:val="0"/>
          <w:kern w:val="0"/>
          <w:sz w:val="36"/>
          <w:szCs w:val="36"/>
          <w:lang w:eastAsia="zh-CN"/>
        </w:rPr>
        <w:t>第五部分</w:t>
      </w:r>
      <w:r>
        <w:rPr>
          <w:rFonts w:hint="default" w:ascii="Times New Roman" w:hAnsi="Times New Roman" w:eastAsia="黑体" w:cs="Times New Roman"/>
          <w:b w:val="0"/>
          <w:kern w:val="0"/>
          <w:sz w:val="36"/>
          <w:szCs w:val="36"/>
          <w:lang w:val="en-US" w:eastAsia="zh-CN"/>
        </w:rPr>
        <w:t xml:space="preserve">    附件</w:t>
      </w:r>
    </w:p>
    <w:p>
      <w:pPr>
        <w:widowControl w:val="0"/>
        <w:wordWrap/>
        <w:adjustRightInd/>
        <w:snapToGrid/>
        <w:spacing w:beforeLines="50" w:line="560" w:lineRule="exact"/>
        <w:ind w:left="0" w:leftChars="0" w:right="0" w:firstLine="156" w:firstLineChars="49"/>
        <w:jc w:val="both"/>
        <w:textAlignment w:val="auto"/>
        <w:outlineLvl w:val="1"/>
        <w:rPr>
          <w:rFonts w:hint="default" w:ascii="Times New Roman" w:hAnsi="Times New Roman" w:eastAsia="仿宋_GB2312" w:cs="Times New Roman"/>
          <w:b w:val="0"/>
          <w:kern w:val="0"/>
          <w:sz w:val="32"/>
          <w:szCs w:val="32"/>
          <w:lang w:val="en-US" w:eastAsia="zh-CN"/>
        </w:rPr>
      </w:pPr>
      <w:r>
        <w:rPr>
          <w:rFonts w:hint="default" w:ascii="Times New Roman" w:hAnsi="Times New Roman" w:eastAsia="仿宋_GB2312" w:cs="Times New Roman"/>
          <w:b w:val="0"/>
          <w:kern w:val="0"/>
          <w:sz w:val="32"/>
          <w:szCs w:val="32"/>
          <w:lang w:val="en-US" w:eastAsia="zh-CN"/>
        </w:rPr>
        <w:t xml:space="preserve">    </w:t>
      </w:r>
      <w:r>
        <w:rPr>
          <w:rFonts w:hint="eastAsia" w:ascii="Times New Roman" w:hAnsi="Times New Roman" w:eastAsia="仿宋_GB2312" w:cs="Times New Roman"/>
          <w:b w:val="0"/>
          <w:kern w:val="0"/>
          <w:sz w:val="32"/>
          <w:szCs w:val="32"/>
          <w:lang w:val="en-US" w:eastAsia="zh-CN"/>
        </w:rPr>
        <w:t>无</w:t>
      </w:r>
    </w:p>
    <w:p>
      <w:pPr>
        <w:widowControl w:val="0"/>
        <w:wordWrap/>
        <w:adjustRightInd/>
        <w:snapToGrid/>
        <w:spacing w:beforeLines="50" w:line="560" w:lineRule="exact"/>
        <w:ind w:left="0" w:leftChars="0" w:right="0" w:firstLine="156" w:firstLineChars="49"/>
        <w:jc w:val="both"/>
        <w:textAlignment w:val="auto"/>
        <w:outlineLvl w:val="1"/>
        <w:rPr>
          <w:rFonts w:hint="default" w:ascii="Times New Roman" w:hAnsi="Times New Roman" w:eastAsia="仿宋_GB2312" w:cs="Times New Roman"/>
          <w:b w:val="0"/>
          <w:kern w:val="0"/>
          <w:sz w:val="32"/>
          <w:szCs w:val="32"/>
          <w:lang w:val="en-US" w:eastAsia="zh-CN"/>
        </w:rPr>
      </w:pPr>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readOnly"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D82A73"/>
    <w:rsid w:val="073505DA"/>
    <w:rsid w:val="075C3CC8"/>
    <w:rsid w:val="09252950"/>
    <w:rsid w:val="0A0D7532"/>
    <w:rsid w:val="12A12092"/>
    <w:rsid w:val="1313557F"/>
    <w:rsid w:val="16872DC4"/>
    <w:rsid w:val="17E230AF"/>
    <w:rsid w:val="188155F5"/>
    <w:rsid w:val="18F643FE"/>
    <w:rsid w:val="1B9731CA"/>
    <w:rsid w:val="1B9E5D77"/>
    <w:rsid w:val="1F3D289C"/>
    <w:rsid w:val="2B6D36E0"/>
    <w:rsid w:val="2E7C3FF7"/>
    <w:rsid w:val="2F6A2AE3"/>
    <w:rsid w:val="3039397F"/>
    <w:rsid w:val="310F711D"/>
    <w:rsid w:val="34A52DA9"/>
    <w:rsid w:val="352E2B26"/>
    <w:rsid w:val="359E7D51"/>
    <w:rsid w:val="36D65F9F"/>
    <w:rsid w:val="38B952A5"/>
    <w:rsid w:val="3BAE1C54"/>
    <w:rsid w:val="3BF5773D"/>
    <w:rsid w:val="3DE91F67"/>
    <w:rsid w:val="3E9C36DA"/>
    <w:rsid w:val="412F07F9"/>
    <w:rsid w:val="428F3318"/>
    <w:rsid w:val="434B3D68"/>
    <w:rsid w:val="43585465"/>
    <w:rsid w:val="43787D7C"/>
    <w:rsid w:val="453373AB"/>
    <w:rsid w:val="46B1165A"/>
    <w:rsid w:val="475C1ECF"/>
    <w:rsid w:val="48B901D3"/>
    <w:rsid w:val="49BF2690"/>
    <w:rsid w:val="4AC70FF9"/>
    <w:rsid w:val="4DED4AA6"/>
    <w:rsid w:val="4EC45B35"/>
    <w:rsid w:val="4F084CD3"/>
    <w:rsid w:val="55022CF1"/>
    <w:rsid w:val="552E1FDF"/>
    <w:rsid w:val="561A253F"/>
    <w:rsid w:val="58B64E1D"/>
    <w:rsid w:val="5977533C"/>
    <w:rsid w:val="59F52C55"/>
    <w:rsid w:val="5A8E2047"/>
    <w:rsid w:val="5B6858DA"/>
    <w:rsid w:val="5CC504A8"/>
    <w:rsid w:val="5E9721E1"/>
    <w:rsid w:val="5EE202C6"/>
    <w:rsid w:val="5F5B142D"/>
    <w:rsid w:val="61565C66"/>
    <w:rsid w:val="622D4D69"/>
    <w:rsid w:val="63A84375"/>
    <w:rsid w:val="65457526"/>
    <w:rsid w:val="66424733"/>
    <w:rsid w:val="67F350BE"/>
    <w:rsid w:val="6A3F2610"/>
    <w:rsid w:val="6C843389"/>
    <w:rsid w:val="6DF05773"/>
    <w:rsid w:val="6E8709F2"/>
    <w:rsid w:val="6F5C6A48"/>
    <w:rsid w:val="70237839"/>
    <w:rsid w:val="727C7ECF"/>
    <w:rsid w:val="7557303E"/>
    <w:rsid w:val="77743747"/>
    <w:rsid w:val="788D1373"/>
    <w:rsid w:val="7B220A3E"/>
    <w:rsid w:val="7CE84875"/>
    <w:rsid w:val="7E700829"/>
    <w:rsid w:val="7F242389"/>
    <w:rsid w:val="7FA40D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一瞬花开</cp:lastModifiedBy>
  <cp:lastPrinted>2020-07-16T01:06:00Z</cp:lastPrinted>
  <dcterms:modified xsi:type="dcterms:W3CDTF">2020-11-05T01:47:49Z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