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201</w:t>
      </w:r>
      <w:r>
        <w:rPr>
          <w:rFonts w:hint="eastAsia" w:ascii="方正小标宋简体" w:hAnsi="方正小标宋简体" w:eastAsia="方正小标宋简体" w:cs="方正小标宋简体"/>
          <w:b w:val="0"/>
          <w:bCs/>
          <w:kern w:val="0"/>
          <w:sz w:val="84"/>
          <w:szCs w:val="84"/>
          <w:lang w:val="en-US" w:eastAsia="zh-CN"/>
        </w:rPr>
        <w:t>9</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中卫市沙坡头区农业</w:t>
      </w:r>
      <w:r>
        <w:rPr>
          <w:rFonts w:hint="eastAsia" w:ascii="方正小标宋简体" w:hAnsi="方正小标宋简体" w:eastAsia="方正小标宋简体" w:cs="方正小标宋简体"/>
          <w:b w:val="0"/>
          <w:bCs/>
          <w:spacing w:val="-34"/>
          <w:kern w:val="0"/>
          <w:sz w:val="84"/>
          <w:szCs w:val="84"/>
          <w:lang w:eastAsia="zh-CN"/>
        </w:rPr>
        <w:t>农村局部门</w:t>
      </w:r>
      <w:r>
        <w:rPr>
          <w:rFonts w:hint="eastAsia" w:ascii="方正小标宋简体" w:hAnsi="方正小标宋简体" w:eastAsia="方正小标宋简体" w:cs="方正小标宋简体"/>
          <w:b w:val="0"/>
          <w:bCs/>
          <w:color w:val="auto"/>
          <w:spacing w:val="-34"/>
          <w:kern w:val="0"/>
          <w:sz w:val="84"/>
          <w:szCs w:val="84"/>
          <w:lang w:eastAsia="zh-CN"/>
        </w:rPr>
        <w:t>（本级）</w:t>
      </w:r>
      <w:r>
        <w:rPr>
          <w:rFonts w:hint="eastAsia" w:ascii="方正小标宋简体" w:hAnsi="方正小标宋简体" w:eastAsia="方正小标宋简体" w:cs="方正小标宋简体"/>
          <w:b w:val="0"/>
          <w:bCs/>
          <w:color w:val="auto"/>
          <w:spacing w:val="-34"/>
          <w:kern w:val="0"/>
          <w:sz w:val="84"/>
          <w:szCs w:val="84"/>
        </w:rPr>
        <w:t>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单位职责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统筹研究和组织实施“三农”工作的中长期规划、重大政策。指导农业综合执法。参与制定涉农的财税、价格、收储金融保险、进出口等政策措施。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统筹推动发展农村社会事业、农村公共服务、农村文化、农村基础设施和乡村治理。牵头组织改善沙坡头区农村人居环境，负责农村卫生改厕工作。指导农村精神文明和优秀农耕文化建设。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提出深化农村经济体制改革和巩固完善农村基本经营制度的政策建议。负责农民承包地、农村宅基地改革和管理有关工作。负责农村集体产权制度改革，指导农村集体经济组织发展和集体资产管理工作。负责农村综合产权的流转交易服务。指导农民合作经济组织、农业社会化服务体系、新型农业经营主体建设与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指导乡村特色产业、农产品加工业、休闲农业发展工作。提出促进农产品流通的建议，培育、保护农业品牌。发布农业农村经济信息，监测分析农业农村经济运行。承担农业统计和农业农村信息化有关工作。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负责设施蔬菜、硒砂瓜、畜牧产业、渔业、农业机械化等农业各产业的监督管理。指导粮食等农产品生产。组织构建现代农业产业体系、生产体系、经营体系，指导农业标准化生产。负责渔业和渔政监督管理。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负责农产品质量安全监督管理。组织开展农产品质量安全监测、追溯、风险评估。参与制定农产品质量安全地方标准 并会同有关部门组织实施。指导农业检验检测体系建设。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组织农业资源区划工作。指导农用地、渔业水域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负责有关农业生产资料和农业投入品的监督管理。组织农业生产资料市场体系建设，监督实施农业生产资料地区标准，贯彻执行农药、兽药质量、兽药残留限量和残留检测方法地方标准。负责农药质量监督管理。组织兽医医政、兽药药政药检工作负责执业兽医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负责农业防灾减灾、农作物重大病虫害监测防控工作。指导动植物防疫检疫体系建设，组织、监督辖区内动植物防疫检疫工作，组织扑灭疫情。</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负责农业投资管理。提出农业投融资体制机制改革建议。编制农业投资项目建设规划，提出农业投资规模和方向、扶持农业农村发展财政项目的建议，按规定权限审批农业投资项目，负责农业投资项目资金安排和监督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牵头负责农业农村人才工作。负责农业产业人才培养、引进、使用和管理工作。负责农业和农村人才工作的政策研究、宏观指导和综合协调工作。指导农业教育和农业职业技能开发，指导新型职业农民培育、农业科技人才培养和农村实用人才培训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牵头开展农业对外合作交流工作。承办农业涉外事务，组织开展农业贸易促进和有关国际经济、技术交流合作，具体执行有关农业援外项目。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指导农业行业安全生产工作。负责种植业、畜牧业渔业等农业行业安全生产工作。承担农药、农村沼气、农业机械和农村合作经济组织的安全生产监督管理。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负责农田整治项目、农田水利建设项目、高效节水灌溉项目管理工作。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承担区委农办日常工作。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bCs/>
          <w:kern w:val="0"/>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完成沙坡头区委、政府和区委农村工作领导小组交办的其他任务。 </w:t>
      </w: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r>
        <w:rPr>
          <w:rFonts w:hint="eastAsia" w:ascii="黑体" w:hAnsi="黑体" w:eastAsia="黑体" w:cs="宋体"/>
          <w:b/>
          <w:bCs/>
          <w:kern w:val="0"/>
          <w:sz w:val="32"/>
          <w:szCs w:val="32"/>
        </w:rPr>
        <w:t xml:space="preserve">    </w:t>
      </w:r>
    </w:p>
    <w:p>
      <w:pPr>
        <w:widowControl/>
        <w:spacing w:line="560" w:lineRule="exact"/>
        <w:ind w:firstLine="48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中卫市沙坡头区农业农村局是一级预算的行政单位，资金来源主要依靠财政拨款，隶属于沙坡头区人民政府，在区政府领导下开展各项工作。</w:t>
      </w:r>
    </w:p>
    <w:p>
      <w:pPr>
        <w:widowControl/>
        <w:spacing w:line="560" w:lineRule="exact"/>
        <w:ind w:firstLine="48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截止2019年12月31日，本年在职人员</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lang w:eastAsia="zh-CN"/>
        </w:rPr>
        <w:t>人，全部为行政人员。局机关内设办公室、种植业办、畜牧办、项目办、财务办。本单位是独立核算、全额预算拨款的行政机关。</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4"/>
        <w:tblW w:w="14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37"/>
        <w:gridCol w:w="612"/>
        <w:gridCol w:w="1844"/>
        <w:gridCol w:w="4235"/>
        <w:gridCol w:w="700"/>
        <w:gridCol w:w="1"/>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jc w:val="center"/>
        </w:trPr>
        <w:tc>
          <w:tcPr>
            <w:tcW w:w="14740" w:type="dxa"/>
            <w:gridSpan w:val="7"/>
            <w:tcBorders>
              <w:top w:val="nil"/>
              <w:left w:val="nil"/>
              <w:bottom w:val="nil"/>
              <w:right w:val="nil"/>
            </w:tcBorders>
            <w:vAlign w:val="bottom"/>
          </w:tcPr>
          <w:p>
            <w:pPr>
              <w:spacing w:beforeLines="50" w:line="580" w:lineRule="exact"/>
              <w:ind w:firstLine="176"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val="0"/>
                <w:kern w:val="0"/>
                <w:sz w:val="36"/>
                <w:szCs w:val="36"/>
              </w:rPr>
              <w:t>第二部分  201</w:t>
            </w:r>
            <w:r>
              <w:rPr>
                <w:rFonts w:hint="eastAsia" w:ascii="黑体" w:hAnsi="黑体" w:eastAsia="黑体" w:cs="黑体"/>
                <w:b w:val="0"/>
                <w:kern w:val="0"/>
                <w:sz w:val="36"/>
                <w:szCs w:val="36"/>
                <w:lang w:val="en-US" w:eastAsia="zh-CN"/>
              </w:rPr>
              <w:t>9</w:t>
            </w:r>
            <w:r>
              <w:rPr>
                <w:rFonts w:hint="eastAsia" w:ascii="黑体" w:hAnsi="黑体" w:eastAsia="黑体" w:cs="黑体"/>
                <w:b w:val="0"/>
                <w:kern w:val="0"/>
                <w:sz w:val="36"/>
                <w:szCs w:val="36"/>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exact"/>
          <w:jc w:val="center"/>
        </w:trPr>
        <w:tc>
          <w:tcPr>
            <w:tcW w:w="48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nil"/>
              <w:bottom w:val="nil"/>
              <w:right w:val="nil"/>
            </w:tcBorders>
            <w:vAlign w:val="bottom"/>
          </w:tcPr>
          <w:p>
            <w:pPr>
              <w:widowControl/>
              <w:jc w:val="left"/>
              <w:rPr>
                <w:rFonts w:hint="eastAsia" w:ascii="宋体" w:hAnsi="宋体" w:eastAsia="宋体" w:cs="Arial"/>
                <w:color w:val="000000"/>
                <w:kern w:val="0"/>
                <w:sz w:val="24"/>
                <w:lang w:eastAsia="zh-CN"/>
              </w:rPr>
            </w:pPr>
            <w:r>
              <w:rPr>
                <w:rFonts w:hint="eastAsia" w:ascii="宋体" w:hAnsi="宋体" w:cs="Arial"/>
                <w:color w:val="000000"/>
                <w:kern w:val="0"/>
                <w:sz w:val="20"/>
                <w:szCs w:val="20"/>
              </w:rPr>
              <w:t>公开部门：</w:t>
            </w:r>
            <w:r>
              <w:rPr>
                <w:rFonts w:hint="eastAsia" w:ascii="宋体" w:hAnsi="宋体" w:cs="Arial"/>
                <w:color w:val="000000"/>
                <w:kern w:val="0"/>
                <w:sz w:val="20"/>
                <w:szCs w:val="20"/>
                <w:lang w:eastAsia="zh-CN"/>
              </w:rPr>
              <w:t>中卫市沙坡头区农业农村局（本级）</w:t>
            </w:r>
          </w:p>
        </w:tc>
        <w:tc>
          <w:tcPr>
            <w:tcW w:w="6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行次</w:t>
            </w:r>
          </w:p>
        </w:tc>
        <w:tc>
          <w:tcPr>
            <w:tcW w:w="1844"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行次</w:t>
            </w:r>
          </w:p>
        </w:tc>
        <w:tc>
          <w:tcPr>
            <w:tcW w:w="2511"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栏次</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1844"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1</w:t>
            </w:r>
          </w:p>
        </w:tc>
        <w:tc>
          <w:tcPr>
            <w:tcW w:w="4235"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栏次</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511"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一、</w:t>
            </w:r>
            <w:r>
              <w:rPr>
                <w:rFonts w:hint="eastAsia" w:asciiTheme="minorEastAsia" w:hAnsiTheme="minorEastAsia" w:eastAsiaTheme="minorEastAsia" w:cstheme="minorEastAsia"/>
                <w:color w:val="000000"/>
                <w:kern w:val="0"/>
                <w:sz w:val="18"/>
                <w:szCs w:val="18"/>
                <w:lang w:eastAsia="zh-CN"/>
              </w:rPr>
              <w:t>一般公共预算</w:t>
            </w:r>
            <w:r>
              <w:rPr>
                <w:rFonts w:hint="eastAsia" w:asciiTheme="minorEastAsia" w:hAnsiTheme="minorEastAsia" w:eastAsiaTheme="minorEastAsia" w:cstheme="minorEastAsia"/>
                <w:color w:val="000000"/>
                <w:kern w:val="0"/>
                <w:sz w:val="18"/>
                <w:szCs w:val="18"/>
              </w:rPr>
              <w:t>财政拨款收入</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366,378,308.61</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29</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44,936.07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eastAsia="zh-CN"/>
              </w:rPr>
              <w:t>二、</w:t>
            </w:r>
            <w:r>
              <w:rPr>
                <w:rFonts w:hint="eastAsia" w:asciiTheme="minorEastAsia" w:hAnsiTheme="minorEastAsia" w:eastAsiaTheme="minorEastAsia" w:cstheme="minorEastAsia"/>
                <w:color w:val="000000"/>
                <w:kern w:val="0"/>
                <w:sz w:val="18"/>
                <w:szCs w:val="18"/>
              </w:rPr>
              <w:t>政府性基金预算财政拨款</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二、外交支出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30</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eastAsia="zh-CN"/>
              </w:rPr>
              <w:t>三</w:t>
            </w:r>
            <w:r>
              <w:rPr>
                <w:rFonts w:hint="eastAsia" w:asciiTheme="minorEastAsia" w:hAnsiTheme="minorEastAsia" w:eastAsiaTheme="minorEastAsia" w:cstheme="minorEastAsia"/>
                <w:color w:val="000000"/>
                <w:kern w:val="0"/>
                <w:sz w:val="18"/>
                <w:szCs w:val="18"/>
              </w:rPr>
              <w:t>、上级补助收入</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三、国防支出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31</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eastAsia="zh-CN"/>
              </w:rPr>
              <w:t>四</w:t>
            </w:r>
            <w:r>
              <w:rPr>
                <w:rFonts w:hint="eastAsia" w:asciiTheme="minorEastAsia" w:hAnsiTheme="minorEastAsia" w:eastAsiaTheme="minorEastAsia" w:cstheme="minorEastAsia"/>
                <w:color w:val="000000"/>
                <w:kern w:val="0"/>
                <w:sz w:val="18"/>
                <w:szCs w:val="18"/>
              </w:rPr>
              <w:t>、事业收入</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32</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eastAsia="zh-CN"/>
              </w:rPr>
              <w:t>五</w:t>
            </w:r>
            <w:r>
              <w:rPr>
                <w:rFonts w:hint="eastAsia" w:asciiTheme="minorEastAsia" w:hAnsiTheme="minorEastAsia" w:eastAsiaTheme="minorEastAsia" w:cstheme="minorEastAsia"/>
                <w:color w:val="000000"/>
                <w:kern w:val="0"/>
                <w:sz w:val="18"/>
                <w:szCs w:val="18"/>
              </w:rPr>
              <w:t>、经营收入</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五、教育支出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33</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eastAsia="zh-CN"/>
              </w:rPr>
              <w:t>六</w:t>
            </w:r>
            <w:r>
              <w:rPr>
                <w:rFonts w:hint="eastAsia" w:asciiTheme="minorEastAsia" w:hAnsiTheme="minorEastAsia" w:eastAsiaTheme="minorEastAsia" w:cstheme="minorEastAsia"/>
                <w:color w:val="000000"/>
                <w:kern w:val="0"/>
                <w:sz w:val="18"/>
                <w:szCs w:val="18"/>
              </w:rPr>
              <w:t>、附属单位上缴收入</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6</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34</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315,240.00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eastAsia="zh-CN"/>
              </w:rPr>
              <w:t>七</w:t>
            </w:r>
            <w:r>
              <w:rPr>
                <w:rFonts w:hint="eastAsia" w:asciiTheme="minorEastAsia" w:hAnsiTheme="minorEastAsia" w:eastAsiaTheme="minorEastAsia" w:cstheme="minorEastAsia"/>
                <w:color w:val="000000"/>
                <w:kern w:val="0"/>
                <w:sz w:val="18"/>
                <w:szCs w:val="18"/>
              </w:rPr>
              <w:t>、其他收入</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7</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77,419,418.21</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七、文化</w:t>
            </w:r>
            <w:r>
              <w:rPr>
                <w:rFonts w:hint="eastAsia" w:asciiTheme="minorEastAsia" w:hAnsiTheme="minorEastAsia" w:eastAsiaTheme="minorEastAsia" w:cstheme="minorEastAsia"/>
                <w:color w:val="000000"/>
                <w:kern w:val="0"/>
                <w:sz w:val="18"/>
                <w:szCs w:val="18"/>
                <w:lang w:eastAsia="zh-CN"/>
              </w:rPr>
              <w:t>旅游</w:t>
            </w:r>
            <w:r>
              <w:rPr>
                <w:rFonts w:hint="eastAsia" w:asciiTheme="minorEastAsia" w:hAnsiTheme="minorEastAsia" w:eastAsiaTheme="minorEastAsia" w:cstheme="minorEastAsia"/>
                <w:color w:val="000000"/>
                <w:kern w:val="0"/>
                <w:sz w:val="18"/>
                <w:szCs w:val="18"/>
              </w:rPr>
              <w:t>体育与传媒支出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35</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8</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36</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480,574.93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9</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九、</w:t>
            </w:r>
            <w:r>
              <w:rPr>
                <w:rFonts w:hint="eastAsia" w:asciiTheme="minorEastAsia" w:hAnsiTheme="minorEastAsia" w:eastAsiaTheme="minorEastAsia" w:cstheme="minorEastAsia"/>
                <w:color w:val="000000"/>
                <w:kern w:val="0"/>
                <w:sz w:val="18"/>
                <w:szCs w:val="18"/>
                <w:lang w:eastAsia="zh-CN"/>
              </w:rPr>
              <w:t>卫生健康</w:t>
            </w:r>
            <w:r>
              <w:rPr>
                <w:rFonts w:hint="eastAsia" w:asciiTheme="minorEastAsia" w:hAnsiTheme="minorEastAsia" w:eastAsiaTheme="minorEastAsia" w:cstheme="minorEastAsia"/>
                <w:color w:val="000000"/>
                <w:kern w:val="0"/>
                <w:sz w:val="18"/>
                <w:szCs w:val="18"/>
              </w:rPr>
              <w:t>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37</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76,249.24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10</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38</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46,600,759.00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11</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39</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12</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40</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250,279,540.61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13</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41</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14</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42</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15</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43</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auto"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16</w:t>
            </w:r>
          </w:p>
        </w:tc>
        <w:tc>
          <w:tcPr>
            <w:tcW w:w="1844"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auto"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十六、金融支出</w:t>
            </w:r>
          </w:p>
        </w:tc>
        <w:tc>
          <w:tcPr>
            <w:tcW w:w="701" w:type="dxa"/>
            <w:gridSpan w:val="2"/>
            <w:tcBorders>
              <w:top w:val="nil"/>
              <w:left w:val="nil"/>
              <w:bottom w:val="single" w:color="auto"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44</w:t>
            </w:r>
          </w:p>
        </w:tc>
        <w:tc>
          <w:tcPr>
            <w:tcW w:w="2511"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17</w:t>
            </w:r>
          </w:p>
        </w:tc>
        <w:tc>
          <w:tcPr>
            <w:tcW w:w="18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18</w:t>
            </w:r>
          </w:p>
        </w:tc>
        <w:tc>
          <w:tcPr>
            <w:tcW w:w="18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十八、</w:t>
            </w:r>
            <w:r>
              <w:rPr>
                <w:rFonts w:hint="eastAsia" w:asciiTheme="minorEastAsia" w:hAnsiTheme="minorEastAsia" w:eastAsiaTheme="minorEastAsia" w:cstheme="minorEastAsia"/>
                <w:color w:val="000000"/>
                <w:kern w:val="0"/>
                <w:sz w:val="18"/>
                <w:szCs w:val="18"/>
                <w:lang w:eastAsia="zh-CN"/>
              </w:rPr>
              <w:t>自然资源</w:t>
            </w:r>
            <w:r>
              <w:rPr>
                <w:rFonts w:hint="eastAsia" w:asciiTheme="minorEastAsia" w:hAnsiTheme="minorEastAsia" w:eastAsiaTheme="minorEastAsia" w:cstheme="minorEastAsia"/>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19</w:t>
            </w:r>
          </w:p>
        </w:tc>
        <w:tc>
          <w:tcPr>
            <w:tcW w:w="18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47</w:t>
            </w:r>
          </w:p>
        </w:tc>
        <w:tc>
          <w:tcPr>
            <w:tcW w:w="2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128,102.10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single" w:color="auto" w:sz="4" w:space="0"/>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single" w:color="auto"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20</w:t>
            </w:r>
          </w:p>
        </w:tc>
        <w:tc>
          <w:tcPr>
            <w:tcW w:w="1844"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48</w:t>
            </w:r>
          </w:p>
        </w:tc>
        <w:tc>
          <w:tcPr>
            <w:tcW w:w="2511"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445,683.00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21</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二十一、灾害防治及应急管理支出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49</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r>
              <w:rPr>
                <w:rFonts w:hint="eastAsia" w:asciiTheme="minorEastAsia" w:hAnsiTheme="minorEastAsia" w:eastAsiaTheme="minorEastAsia" w:cstheme="minorEastAsia"/>
                <w:color w:val="000000"/>
                <w:kern w:val="0"/>
                <w:sz w:val="18"/>
                <w:szCs w:val="18"/>
                <w:lang w:val="en-US" w:eastAsia="zh-CN"/>
              </w:rPr>
              <w:t>2</w:t>
            </w:r>
          </w:p>
        </w:tc>
        <w:tc>
          <w:tcPr>
            <w:tcW w:w="184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nil"/>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二十</w:t>
            </w:r>
            <w:r>
              <w:rPr>
                <w:rFonts w:hint="eastAsia" w:asciiTheme="minorEastAsia" w:hAnsiTheme="minorEastAsia" w:eastAsiaTheme="minorEastAsia" w:cstheme="minorEastAsia"/>
                <w:color w:val="000000"/>
                <w:kern w:val="0"/>
                <w:sz w:val="18"/>
                <w:szCs w:val="18"/>
                <w:lang w:eastAsia="zh-CN"/>
              </w:rPr>
              <w:t>二</w:t>
            </w:r>
            <w:r>
              <w:rPr>
                <w:rFonts w:hint="eastAsia" w:asciiTheme="minorEastAsia" w:hAnsiTheme="minorEastAsia" w:eastAsiaTheme="minorEastAsia" w:cstheme="minorEastAsia"/>
                <w:color w:val="000000"/>
                <w:kern w:val="0"/>
                <w:sz w:val="18"/>
                <w:szCs w:val="18"/>
              </w:rPr>
              <w:t>、其他支出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50</w:t>
            </w:r>
          </w:p>
        </w:tc>
        <w:tc>
          <w:tcPr>
            <w:tcW w:w="251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b/>
                <w:bCs/>
                <w:color w:val="000000"/>
                <w:kern w:val="0"/>
                <w:sz w:val="18"/>
                <w:szCs w:val="18"/>
              </w:rPr>
            </w:pP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23</w:t>
            </w:r>
          </w:p>
        </w:tc>
        <w:tc>
          <w:tcPr>
            <w:tcW w:w="1844" w:type="dxa"/>
            <w:tcBorders>
              <w:top w:val="nil"/>
              <w:left w:val="nil"/>
              <w:bottom w:val="single" w:color="000000" w:sz="4" w:space="0"/>
              <w:right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val="0"/>
                <w:bCs w:val="0"/>
                <w:color w:val="000000"/>
                <w:kern w:val="0"/>
                <w:sz w:val="18"/>
                <w:szCs w:val="18"/>
                <w:lang w:val="en-US" w:eastAsia="zh-CN"/>
              </w:rPr>
            </w:pPr>
            <w:r>
              <w:rPr>
                <w:rFonts w:hint="eastAsia" w:asciiTheme="minorEastAsia" w:hAnsiTheme="minorEastAsia" w:eastAsiaTheme="minorEastAsia" w:cstheme="minorEastAsia"/>
                <w:b w:val="0"/>
                <w:bCs w:val="0"/>
                <w:color w:val="000000"/>
                <w:kern w:val="0"/>
                <w:sz w:val="18"/>
                <w:szCs w:val="18"/>
                <w:lang w:val="en-US" w:eastAsia="zh-CN"/>
              </w:rPr>
              <w:t>二十三、债务还本支出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53</w:t>
            </w:r>
          </w:p>
        </w:tc>
        <w:tc>
          <w:tcPr>
            <w:tcW w:w="2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b/>
                <w:bCs/>
                <w:color w:val="000000"/>
                <w:kern w:val="0"/>
                <w:sz w:val="18"/>
                <w:szCs w:val="18"/>
              </w:rPr>
            </w:pP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24</w:t>
            </w:r>
          </w:p>
        </w:tc>
        <w:tc>
          <w:tcPr>
            <w:tcW w:w="1844" w:type="dxa"/>
            <w:tcBorders>
              <w:top w:val="nil"/>
              <w:left w:val="nil"/>
              <w:bottom w:val="single" w:color="000000" w:sz="4" w:space="0"/>
              <w:right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val="0"/>
                <w:bCs w:val="0"/>
                <w:color w:val="000000"/>
                <w:kern w:val="0"/>
                <w:sz w:val="18"/>
                <w:szCs w:val="18"/>
                <w:lang w:val="en-US" w:eastAsia="zh-CN"/>
              </w:rPr>
              <w:t>二十三、债务付息支出</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54</w:t>
            </w:r>
          </w:p>
        </w:tc>
        <w:tc>
          <w:tcPr>
            <w:tcW w:w="2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本年收入合计</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w:t>
            </w:r>
            <w:r>
              <w:rPr>
                <w:rFonts w:hint="eastAsia" w:asciiTheme="minorEastAsia" w:hAnsiTheme="minorEastAsia" w:eastAsiaTheme="minorEastAsia" w:cstheme="minorEastAsia"/>
                <w:color w:val="000000"/>
                <w:kern w:val="0"/>
                <w:sz w:val="18"/>
                <w:szCs w:val="18"/>
                <w:lang w:val="en-US" w:eastAsia="zh-CN"/>
              </w:rPr>
              <w:t>5</w:t>
            </w:r>
          </w:p>
        </w:tc>
        <w:tc>
          <w:tcPr>
            <w:tcW w:w="1844" w:type="dxa"/>
            <w:tcBorders>
              <w:top w:val="nil"/>
              <w:left w:val="nil"/>
              <w:bottom w:val="single" w:color="000000" w:sz="4" w:space="0"/>
              <w:right w:val="nil"/>
            </w:tcBorders>
            <w:vAlign w:val="bottom"/>
          </w:tcPr>
          <w:p>
            <w:pPr>
              <w:keepNext w:val="0"/>
              <w:keepLines w:val="0"/>
              <w:widowControl/>
              <w:suppressLineNumbers w:val="0"/>
              <w:jc w:val="right"/>
              <w:textAlignment w:val="bottom"/>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b/>
                <w:bCs/>
                <w:i w:val="0"/>
                <w:color w:val="000000"/>
                <w:kern w:val="0"/>
                <w:sz w:val="20"/>
                <w:szCs w:val="20"/>
                <w:u w:val="none"/>
                <w:lang w:val="en-US" w:eastAsia="zh-CN" w:bidi="ar"/>
              </w:rPr>
              <w:t>443,797,726.82</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313,481,844.95</w:t>
            </w:r>
          </w:p>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    用事业基金弥补收支差额</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2</w:t>
            </w:r>
            <w:r>
              <w:rPr>
                <w:rFonts w:hint="eastAsia" w:asciiTheme="minorEastAsia" w:hAnsiTheme="minorEastAsia" w:eastAsiaTheme="minorEastAsia" w:cstheme="minorEastAsia"/>
                <w:color w:val="000000"/>
                <w:kern w:val="0"/>
                <w:sz w:val="18"/>
                <w:szCs w:val="18"/>
                <w:lang w:val="en-US" w:eastAsia="zh-CN"/>
              </w:rPr>
              <w:t>6</w:t>
            </w:r>
          </w:p>
        </w:tc>
        <w:tc>
          <w:tcPr>
            <w:tcW w:w="1844" w:type="dxa"/>
            <w:tcBorders>
              <w:top w:val="nil"/>
              <w:left w:val="nil"/>
              <w:bottom w:val="single" w:color="000000" w:sz="4" w:space="0"/>
              <w:right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56</w:t>
            </w:r>
          </w:p>
        </w:tc>
        <w:tc>
          <w:tcPr>
            <w:tcW w:w="251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exact"/>
          <w:jc w:val="center"/>
        </w:trPr>
        <w:tc>
          <w:tcPr>
            <w:tcW w:w="4837" w:type="dxa"/>
            <w:tcBorders>
              <w:top w:val="nil"/>
              <w:left w:val="single" w:color="000000" w:sz="8" w:space="0"/>
              <w:bottom w:val="single" w:color="000000" w:sz="4" w:space="0"/>
              <w:right w:val="single" w:color="000000" w:sz="4" w:space="0"/>
            </w:tcBorders>
            <w:vAlign w:val="center"/>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xml:space="preserve">    年初结转和结余</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eastAsia="zh-CN"/>
              </w:rPr>
            </w:pPr>
            <w:r>
              <w:rPr>
                <w:rFonts w:hint="eastAsia" w:asciiTheme="minorEastAsia" w:hAnsiTheme="minorEastAsia" w:eastAsiaTheme="minorEastAsia" w:cstheme="minorEastAsia"/>
                <w:color w:val="000000"/>
                <w:kern w:val="0"/>
                <w:sz w:val="18"/>
                <w:szCs w:val="18"/>
                <w:lang w:eastAsia="zh-CN"/>
              </w:rPr>
              <w:t>2</w:t>
            </w:r>
            <w:r>
              <w:rPr>
                <w:rFonts w:hint="eastAsia" w:asciiTheme="minorEastAsia" w:hAnsiTheme="minorEastAsia" w:eastAsiaTheme="minorEastAsia" w:cstheme="minorEastAsia"/>
                <w:color w:val="000000"/>
                <w:kern w:val="0"/>
                <w:sz w:val="18"/>
                <w:szCs w:val="18"/>
                <w:lang w:val="en-US" w:eastAsia="zh-CN"/>
              </w:rPr>
              <w:t>7</w:t>
            </w:r>
          </w:p>
        </w:tc>
        <w:tc>
          <w:tcPr>
            <w:tcW w:w="1844" w:type="dxa"/>
            <w:tcBorders>
              <w:top w:val="nil"/>
              <w:left w:val="nil"/>
              <w:bottom w:val="single" w:color="000000" w:sz="4" w:space="0"/>
              <w:right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22,894,858.37</w:t>
            </w:r>
          </w:p>
        </w:tc>
        <w:tc>
          <w:tcPr>
            <w:tcW w:w="423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年末结转和结余</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57</w:t>
            </w:r>
          </w:p>
        </w:tc>
        <w:tc>
          <w:tcPr>
            <w:tcW w:w="2511" w:type="dxa"/>
            <w:tcBorders>
              <w:top w:val="nil"/>
              <w:left w:val="single" w:color="auto" w:sz="4" w:space="0"/>
              <w:bottom w:val="single" w:color="auto" w:sz="4" w:space="0"/>
              <w:right w:val="single" w:color="auto" w:sz="4" w:space="0"/>
            </w:tcBorders>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r>
              <w:rPr>
                <w:rFonts w:hint="eastAsia" w:ascii="宋体" w:hAnsi="宋体" w:eastAsia="宋体" w:cs="宋体"/>
                <w:i w:val="0"/>
                <w:color w:val="000000"/>
                <w:kern w:val="0"/>
                <w:sz w:val="20"/>
                <w:szCs w:val="20"/>
                <w:u w:val="none"/>
                <w:lang w:val="en-US" w:eastAsia="zh-CN" w:bidi="ar"/>
              </w:rPr>
              <w:t>153,210,740.24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exact"/>
          <w:jc w:val="center"/>
        </w:trPr>
        <w:tc>
          <w:tcPr>
            <w:tcW w:w="4837" w:type="dxa"/>
            <w:tcBorders>
              <w:top w:val="nil"/>
              <w:left w:val="single" w:color="000000" w:sz="8" w:space="0"/>
              <w:bottom w:val="single" w:color="000000" w:sz="8" w:space="0"/>
              <w:right w:val="single" w:color="000000" w:sz="4" w:space="0"/>
            </w:tcBorders>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总计</w:t>
            </w:r>
          </w:p>
        </w:tc>
        <w:tc>
          <w:tcPr>
            <w:tcW w:w="612" w:type="dxa"/>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28</w:t>
            </w:r>
          </w:p>
        </w:tc>
        <w:tc>
          <w:tcPr>
            <w:tcW w:w="1844" w:type="dxa"/>
            <w:tcBorders>
              <w:top w:val="nil"/>
              <w:left w:val="nil"/>
              <w:bottom w:val="single" w:color="000000" w:sz="8" w:space="0"/>
              <w:right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466,692,585.19</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总计</w:t>
            </w:r>
          </w:p>
        </w:tc>
        <w:tc>
          <w:tcPr>
            <w:tcW w:w="701" w:type="dxa"/>
            <w:gridSpan w:val="2"/>
            <w:tcBorders>
              <w:top w:val="nil"/>
              <w:left w:val="nil"/>
              <w:bottom w:val="single" w:color="000000" w:sz="4" w:space="0"/>
              <w:right w:val="single" w:color="000000" w:sz="4" w:space="0"/>
            </w:tcBorders>
            <w:vAlign w:val="center"/>
          </w:tcPr>
          <w:p>
            <w:pPr>
              <w:widowControl/>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58</w:t>
            </w:r>
          </w:p>
        </w:tc>
        <w:tc>
          <w:tcPr>
            <w:tcW w:w="251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466,692,585.19</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4"/>
        <w:tblpPr w:leftFromText="180" w:rightFromText="180" w:vertAnchor="text" w:horzAnchor="page" w:tblpX="1358" w:tblpY="621"/>
        <w:tblOverlap w:val="never"/>
        <w:tblW w:w="142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0"/>
        <w:gridCol w:w="290"/>
        <w:gridCol w:w="426"/>
        <w:gridCol w:w="3509"/>
        <w:gridCol w:w="1523"/>
        <w:gridCol w:w="1534"/>
        <w:gridCol w:w="1408"/>
        <w:gridCol w:w="992"/>
        <w:gridCol w:w="1016"/>
        <w:gridCol w:w="1465"/>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262" w:type="dxa"/>
            <w:gridSpan w:val="1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方正小标宋_GBK" w:hAnsi="方正小标宋_GBK" w:eastAsia="方正小标宋_GBK" w:cs="方正小标宋_GBK"/>
                <w:b w:val="0"/>
                <w:bCs w:val="0"/>
                <w:color w:val="000000"/>
                <w:kern w:val="0"/>
                <w:sz w:val="44"/>
                <w:szCs w:val="44"/>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5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1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89"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058"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0"/>
                <w:szCs w:val="20"/>
              </w:rPr>
              <w:t>公开部门：</w:t>
            </w:r>
            <w:r>
              <w:rPr>
                <w:rFonts w:hint="eastAsia" w:ascii="宋体" w:hAnsi="宋体" w:cs="Arial"/>
                <w:color w:val="000000"/>
                <w:kern w:val="0"/>
                <w:sz w:val="20"/>
                <w:szCs w:val="20"/>
                <w:lang w:eastAsia="zh-CN"/>
              </w:rPr>
              <w:t>中卫市沙坡头区农业农村局（本级）</w:t>
            </w:r>
          </w:p>
        </w:tc>
        <w:tc>
          <w:tcPr>
            <w:tcW w:w="15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8" w:type="dxa"/>
            <w:tcBorders>
              <w:top w:val="nil"/>
              <w:left w:val="nil"/>
              <w:bottom w:val="nil"/>
              <w:right w:val="nil"/>
            </w:tcBorders>
            <w:vAlign w:val="bottom"/>
          </w:tcPr>
          <w:p>
            <w:pPr>
              <w:widowControl/>
              <w:jc w:val="center"/>
              <w:rPr>
                <w:rFonts w:ascii="宋体" w:hAnsi="宋体" w:cs="Arial"/>
                <w:color w:val="000000"/>
                <w:kern w:val="0"/>
                <w:sz w:val="20"/>
                <w:szCs w:val="20"/>
              </w:rPr>
            </w:pPr>
          </w:p>
        </w:tc>
        <w:tc>
          <w:tcPr>
            <w:tcW w:w="9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1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89" w:type="dxa"/>
            <w:tcBorders>
              <w:top w:val="nil"/>
              <w:left w:val="nil"/>
              <w:bottom w:val="nil"/>
              <w:right w:val="nil"/>
            </w:tcBorders>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35"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1523"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本年收入合计</w:t>
            </w:r>
          </w:p>
        </w:tc>
        <w:tc>
          <w:tcPr>
            <w:tcW w:w="1534"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财政拨款收入</w:t>
            </w:r>
          </w:p>
        </w:tc>
        <w:tc>
          <w:tcPr>
            <w:tcW w:w="1408"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上级补助收入</w:t>
            </w:r>
          </w:p>
        </w:tc>
        <w:tc>
          <w:tcPr>
            <w:tcW w:w="992" w:type="dxa"/>
            <w:vMerge w:val="restart"/>
            <w:tcBorders>
              <w:top w:val="single" w:color="000000" w:sz="8" w:space="0"/>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事业收入</w:t>
            </w:r>
          </w:p>
        </w:tc>
        <w:tc>
          <w:tcPr>
            <w:tcW w:w="1016"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经营收入</w:t>
            </w:r>
          </w:p>
        </w:tc>
        <w:tc>
          <w:tcPr>
            <w:tcW w:w="1465" w:type="dxa"/>
            <w:vMerge w:val="restart"/>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附属单位上缴收入</w:t>
            </w:r>
          </w:p>
        </w:tc>
        <w:tc>
          <w:tcPr>
            <w:tcW w:w="1789" w:type="dxa"/>
            <w:vMerge w:val="restart"/>
            <w:tcBorders>
              <w:top w:val="single" w:color="000000" w:sz="8" w:space="0"/>
              <w:left w:val="nil"/>
              <w:bottom w:val="single" w:color="000000" w:sz="4" w:space="0"/>
              <w:right w:val="single" w:color="000000" w:sz="8"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功能分类科目编码</w:t>
            </w:r>
          </w:p>
        </w:tc>
        <w:tc>
          <w:tcPr>
            <w:tcW w:w="35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523"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534"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408"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992"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016"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465" w:type="dxa"/>
            <w:vMerge w:val="continue"/>
            <w:tcBorders>
              <w:top w:val="single" w:color="000000" w:sz="8" w:space="0"/>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789" w:type="dxa"/>
            <w:vMerge w:val="continue"/>
            <w:tcBorders>
              <w:top w:val="single" w:color="000000" w:sz="8" w:space="0"/>
              <w:left w:val="nil"/>
              <w:bottom w:val="single" w:color="000000" w:sz="4" w:space="0"/>
              <w:right w:val="single" w:color="000000" w:sz="8" w:space="0"/>
            </w:tcBorders>
            <w:vAlign w:val="center"/>
          </w:tcPr>
          <w:p>
            <w:pPr>
              <w:widowControl/>
              <w:jc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 w:type="dxa"/>
            <w:vMerge w:val="restart"/>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类</w:t>
            </w:r>
          </w:p>
        </w:tc>
        <w:tc>
          <w:tcPr>
            <w:tcW w:w="290" w:type="dxa"/>
            <w:vMerge w:val="restart"/>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款</w:t>
            </w:r>
          </w:p>
        </w:tc>
        <w:tc>
          <w:tcPr>
            <w:tcW w:w="426" w:type="dxa"/>
            <w:vMerge w:val="restart"/>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35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1523"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534"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408"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992"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4</w:t>
            </w:r>
          </w:p>
        </w:tc>
        <w:tc>
          <w:tcPr>
            <w:tcW w:w="1016"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w:t>
            </w:r>
          </w:p>
        </w:tc>
        <w:tc>
          <w:tcPr>
            <w:tcW w:w="1465"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c>
          <w:tcPr>
            <w:tcW w:w="1789" w:type="dxa"/>
            <w:tcBorders>
              <w:top w:val="nil"/>
              <w:left w:val="nil"/>
              <w:bottom w:val="single" w:color="000000" w:sz="4" w:space="0"/>
              <w:right w:val="single" w:color="000000" w:sz="8"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0" w:type="dxa"/>
            <w:vMerge w:val="continue"/>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290" w:type="dxa"/>
            <w:vMerge w:val="continue"/>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426" w:type="dxa"/>
            <w:vMerge w:val="continue"/>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350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443,797,726.82</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366,378,308.61</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eastAsia="宋体" w:cs="宋体"/>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eastAsia="宋体" w:cs="宋体"/>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eastAsia="宋体" w:cs="宋体"/>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eastAsia="宋体" w:cs="宋体"/>
                <w:color w:val="000000"/>
                <w:kern w:val="0"/>
                <w:sz w:val="18"/>
                <w:szCs w:val="18"/>
              </w:rPr>
            </w:pPr>
          </w:p>
        </w:tc>
        <w:tc>
          <w:tcPr>
            <w:tcW w:w="1789" w:type="dxa"/>
            <w:tcBorders>
              <w:top w:val="nil"/>
              <w:left w:val="nil"/>
              <w:bottom w:val="single" w:color="000000" w:sz="4" w:space="0"/>
              <w:right w:val="single" w:color="000000" w:sz="8" w:space="0"/>
            </w:tcBorders>
            <w:vAlign w:val="bottom"/>
          </w:tcPr>
          <w:p>
            <w:pPr>
              <w:widowControl/>
              <w:jc w:val="right"/>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77,419,418.21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一般公共服务支出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94,000.00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40,000.00</w:t>
            </w:r>
          </w:p>
        </w:tc>
        <w:tc>
          <w:tcPr>
            <w:tcW w:w="1408"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20103</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2010399</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其他政府办公厅（室）及相关机构事务支出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40,000.00</w:t>
            </w:r>
          </w:p>
        </w:tc>
        <w:tc>
          <w:tcPr>
            <w:tcW w:w="1408"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20113</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商贸事务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08"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2011308</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招商引资</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08"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20134</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统战事务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08"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2013402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社会保障和就业支出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447,455.03</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247,632.27</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199,822.76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民政管理事务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2080299</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其他民政管理事务支出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20805</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行政事业单位离退休</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145,693.03</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124,896.27</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20,796.76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2080504</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未归口管理的行政单位离退休</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2080505</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107,356.32</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107,356.32</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2080506</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机关事业单位职业年金缴费支出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32,336.71</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11,539.95</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20,796.76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20807</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就业补助</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295,762.00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116,736.00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179,026.00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2080705</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公益性岗位补贴</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295,762.00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116,736.00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179,026.00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卫生健康支出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76,249.24</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76,249.24</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21011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行政事业单位医疗</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76,249.24</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76,249.24</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2101101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行政单位医疗</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49,745.36</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49,745.36</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2101103</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26,503.88</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26,503.88</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48,966,921.00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40,872,000.00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8,094,921.00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21104</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自然生态保护</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47,869,400.00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40,872,000.00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6,997,400.00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2110402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农村环境保护</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47,869,400.00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40,872,000.00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6,997,400.00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21106</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退耕还林</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1,097,521.00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1,097,521.00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2110602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退耕现金</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1,097,521.00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1,097,521.00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城乡社区支出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17,122,000.00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17,122,000.00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21201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城乡社区管理事务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17,122,000.00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17,122,000.00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2120199</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其他城乡社区管理事务支出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17,122,000.00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17,122,000.00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农林水支出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376,517,361.45</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307,446,687.00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69,070,674.45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农业</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313,897,083.45</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244,826,409.00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69,070,674.45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行政运行</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1,574,689.93</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1,196,349.00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378,340.93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238,007.53</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195,000.00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43,007.53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2130106</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科技转化与推广服务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9,694,400.00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9,694,400.00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2130108</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病虫害控制</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5,562,443.00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5,497,313.00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65,130.00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2130109</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农产品质量安全</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400,393.00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400,393.00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2130110</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执法监管</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98,000.00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98,000.00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2130112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农业行业业务管理</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2130119</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防灾救灾</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7,873,789.00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6,724,280.00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1,149,509.00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2130120</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稳定农民收入补贴</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农业结构调整补贴</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24,430,000.00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16,700,000.00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7,730,000.00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农业生产支持补贴</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65,217,676.99</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11,990,800.00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53,226,876.99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2130124</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农业组织化与产业化经营</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29,920,974.00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23,595,454.00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6,325,520.00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2130125</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农产品加工与促销</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2130126</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农村公益事业</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2130135</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农业资源保护修复与利用</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35,742,000.00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35,742,000.00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2130199</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其他农业支出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132,104,710.00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131,962,420.00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142,290.00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林业和草原</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65,800.00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65,800.00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2130210</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自然保护区等管理</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19,800.00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19,800.00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2130237</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行业业务管理</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21306</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农业综合开发</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47,510,000.00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47,510,000.00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2130602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土地治理</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46,040,000.00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46,040,000.00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2130603</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产业化发展</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200,000.00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2130699</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其他农业综合开发支出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1,270,000.00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1,270,000.00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21308</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普惠金融发展支出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3,170,738.00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3,170,738.00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2130803</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农业保险保费补贴</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3,170,738.00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3,170,738.00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21399</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其他农林水支出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11,873,740.00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11,873,740.00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2139999</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其他农林水支出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11,873,740.00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11,873,740.00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住房保障支出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22102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住房改革支出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2210201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住房公积金</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222</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粮油物资储备支出</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445,638.00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445,638.00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22204</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粮油储备</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445,638.00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445,638.00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6"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2220401</w:t>
            </w:r>
          </w:p>
        </w:tc>
        <w:tc>
          <w:tcPr>
            <w:tcW w:w="3509"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储备粮油补贴</w:t>
            </w:r>
          </w:p>
        </w:tc>
        <w:tc>
          <w:tcPr>
            <w:tcW w:w="152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445,638.00</w:t>
            </w:r>
          </w:p>
        </w:tc>
        <w:tc>
          <w:tcPr>
            <w:tcW w:w="153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445,638.00</w:t>
            </w:r>
          </w:p>
        </w:tc>
        <w:tc>
          <w:tcPr>
            <w:tcW w:w="1408"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992"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016"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465" w:type="dxa"/>
            <w:tcBorders>
              <w:top w:val="nil"/>
              <w:left w:val="nil"/>
              <w:bottom w:val="single" w:color="000000" w:sz="4" w:space="0"/>
              <w:right w:val="single" w:color="000000" w:sz="4" w:space="0"/>
            </w:tcBorders>
            <w:vAlign w:val="bottom"/>
          </w:tcPr>
          <w:p>
            <w:pPr>
              <w:widowControl/>
              <w:jc w:val="right"/>
              <w:rPr>
                <w:rFonts w:hint="eastAsia" w:ascii="宋体" w:hAnsi="宋体" w:cs="Arial"/>
                <w:color w:val="000000"/>
                <w:kern w:val="0"/>
                <w:sz w:val="18"/>
                <w:szCs w:val="18"/>
              </w:rPr>
            </w:pPr>
          </w:p>
        </w:tc>
        <w:tc>
          <w:tcPr>
            <w:tcW w:w="1789"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2"/>
                <w:sz w:val="18"/>
                <w:szCs w:val="18"/>
                <w:u w:val="none"/>
                <w:lang w:val="en-US" w:eastAsia="zh-CN" w:bidi="ar-SA"/>
              </w:rPr>
              <w:t>0.00</w:t>
            </w:r>
          </w:p>
        </w:tc>
      </w:tr>
    </w:tbl>
    <w:tbl>
      <w:tblPr>
        <w:tblStyle w:val="4"/>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5"/>
        <w:gridCol w:w="381"/>
        <w:gridCol w:w="438"/>
        <w:gridCol w:w="3923"/>
        <w:gridCol w:w="1558"/>
        <w:gridCol w:w="1419"/>
        <w:gridCol w:w="1489"/>
        <w:gridCol w:w="1142"/>
        <w:gridCol w:w="1108"/>
        <w:gridCol w:w="2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4082" w:type="dxa"/>
            <w:gridSpan w:val="10"/>
            <w:tcBorders>
              <w:tl2br w:val="nil"/>
              <w:tr2bl w:val="nil"/>
            </w:tcBorders>
            <w:vAlign w:val="bottom"/>
          </w:tcPr>
          <w:p>
            <w:pPr>
              <w:widowControl/>
              <w:jc w:val="center"/>
              <w:rPr>
                <w:rFonts w:hint="eastAsia" w:ascii="方正小标宋_GBK" w:hAnsi="方正小标宋_GBK" w:eastAsia="方正小标宋_GBK" w:cs="方正小标宋_GBK"/>
                <w:b w:val="0"/>
                <w:bCs w:val="0"/>
                <w:color w:val="000000"/>
                <w:kern w:val="0"/>
                <w:sz w:val="44"/>
                <w:szCs w:val="44"/>
              </w:rPr>
            </w:pPr>
          </w:p>
          <w:p>
            <w:pPr>
              <w:widowControl/>
              <w:jc w:val="center"/>
              <w:rPr>
                <w:rFonts w:hint="eastAsia" w:ascii="方正小标宋_GBK" w:hAnsi="方正小标宋_GBK" w:eastAsia="方正小标宋_GBK" w:cs="方正小标宋_GBK"/>
                <w:b w:val="0"/>
                <w:bCs w:val="0"/>
                <w:color w:val="000000"/>
                <w:kern w:val="0"/>
                <w:sz w:val="44"/>
                <w:szCs w:val="44"/>
              </w:rPr>
            </w:pPr>
          </w:p>
          <w:p>
            <w:pPr>
              <w:pStyle w:val="2"/>
              <w:rPr>
                <w:rFonts w:hint="eastAsia" w:ascii="方正小标宋_GBK" w:hAnsi="方正小标宋_GBK" w:eastAsia="方正小标宋_GBK" w:cs="方正小标宋_GBK"/>
                <w:b w:val="0"/>
                <w:bCs w:val="0"/>
                <w:color w:val="000000"/>
                <w:kern w:val="0"/>
                <w:sz w:val="44"/>
                <w:szCs w:val="44"/>
              </w:rPr>
            </w:pPr>
          </w:p>
          <w:p>
            <w:pPr>
              <w:rPr>
                <w:rFonts w:hint="eastAsia"/>
              </w:rPr>
            </w:pPr>
          </w:p>
          <w:p>
            <w:pPr>
              <w:widowControl/>
              <w:jc w:val="center"/>
              <w:rPr>
                <w:rFonts w:hint="eastAsia" w:ascii="方正小标宋_GBK" w:hAnsi="方正小标宋_GBK" w:eastAsia="方正小标宋_GBK" w:cs="方正小标宋_GBK"/>
                <w:b w:val="0"/>
                <w:bCs w:val="0"/>
                <w:color w:val="000000"/>
                <w:kern w:val="0"/>
                <w:sz w:val="44"/>
                <w:szCs w:val="44"/>
              </w:rPr>
            </w:pPr>
          </w:p>
          <w:p>
            <w:pPr>
              <w:widowControl/>
              <w:jc w:val="center"/>
              <w:rPr>
                <w:rFonts w:hint="eastAsia" w:ascii="方正小标宋_GBK" w:hAnsi="方正小标宋_GBK" w:eastAsia="方正小标宋_GBK" w:cs="方正小标宋_GBK"/>
                <w:b w:val="0"/>
                <w:bCs w:val="0"/>
                <w:color w:val="000000"/>
                <w:kern w:val="0"/>
                <w:sz w:val="44"/>
                <w:szCs w:val="44"/>
              </w:rPr>
            </w:pPr>
          </w:p>
          <w:p>
            <w:pPr>
              <w:widowControl/>
              <w:jc w:val="center"/>
              <w:rPr>
                <w:rFonts w:ascii="宋体" w:hAnsi="宋体" w:cs="Arial"/>
                <w:color w:val="000000"/>
                <w:kern w:val="0"/>
                <w:sz w:val="44"/>
                <w:szCs w:val="44"/>
              </w:rPr>
            </w:pPr>
            <w:r>
              <w:rPr>
                <w:rFonts w:hint="eastAsia" w:ascii="方正小标宋_GBK" w:hAnsi="方正小标宋_GBK" w:eastAsia="方正小标宋_GBK" w:cs="方正小标宋_GBK"/>
                <w:b w:val="0"/>
                <w:bCs w:val="0"/>
                <w:color w:val="000000"/>
                <w:kern w:val="0"/>
                <w:sz w:val="44"/>
                <w:szCs w:val="44"/>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5" w:type="dxa"/>
            <w:tcBorders>
              <w:tl2br w:val="nil"/>
              <w:tr2bl w:val="nil"/>
            </w:tcBorders>
            <w:vAlign w:val="bottom"/>
          </w:tcPr>
          <w:p>
            <w:pPr>
              <w:widowControl/>
              <w:jc w:val="left"/>
              <w:rPr>
                <w:rFonts w:ascii="Arial" w:hAnsi="Arial" w:cs="Arial"/>
                <w:color w:val="000000"/>
                <w:kern w:val="0"/>
                <w:sz w:val="20"/>
                <w:szCs w:val="20"/>
              </w:rPr>
            </w:pPr>
          </w:p>
        </w:tc>
        <w:tc>
          <w:tcPr>
            <w:tcW w:w="381" w:type="dxa"/>
            <w:tcBorders>
              <w:tl2br w:val="nil"/>
              <w:tr2bl w:val="nil"/>
            </w:tcBorders>
            <w:vAlign w:val="bottom"/>
          </w:tcPr>
          <w:p>
            <w:pPr>
              <w:widowControl/>
              <w:jc w:val="left"/>
              <w:rPr>
                <w:rFonts w:ascii="Arial" w:hAnsi="Arial" w:cs="Arial"/>
                <w:color w:val="000000"/>
                <w:kern w:val="0"/>
                <w:sz w:val="20"/>
                <w:szCs w:val="20"/>
              </w:rPr>
            </w:pPr>
          </w:p>
        </w:tc>
        <w:tc>
          <w:tcPr>
            <w:tcW w:w="438" w:type="dxa"/>
            <w:tcBorders>
              <w:tl2br w:val="nil"/>
              <w:tr2bl w:val="nil"/>
            </w:tcBorders>
            <w:vAlign w:val="bottom"/>
          </w:tcPr>
          <w:p>
            <w:pPr>
              <w:widowControl/>
              <w:jc w:val="left"/>
              <w:rPr>
                <w:rFonts w:ascii="Arial" w:hAnsi="Arial" w:cs="Arial"/>
                <w:color w:val="000000"/>
                <w:kern w:val="0"/>
                <w:sz w:val="20"/>
                <w:szCs w:val="20"/>
              </w:rPr>
            </w:pPr>
          </w:p>
        </w:tc>
        <w:tc>
          <w:tcPr>
            <w:tcW w:w="3923" w:type="dxa"/>
            <w:tcBorders>
              <w:tl2br w:val="nil"/>
              <w:tr2bl w:val="nil"/>
            </w:tcBorders>
            <w:vAlign w:val="bottom"/>
          </w:tcPr>
          <w:p>
            <w:pPr>
              <w:widowControl/>
              <w:jc w:val="left"/>
              <w:rPr>
                <w:rFonts w:ascii="Arial" w:hAnsi="Arial" w:cs="Arial"/>
                <w:color w:val="000000"/>
                <w:kern w:val="0"/>
                <w:sz w:val="20"/>
                <w:szCs w:val="20"/>
              </w:rPr>
            </w:pPr>
          </w:p>
        </w:tc>
        <w:tc>
          <w:tcPr>
            <w:tcW w:w="1558" w:type="dxa"/>
            <w:tcBorders>
              <w:tl2br w:val="nil"/>
              <w:tr2bl w:val="nil"/>
            </w:tcBorders>
            <w:vAlign w:val="bottom"/>
          </w:tcPr>
          <w:p>
            <w:pPr>
              <w:widowControl/>
              <w:jc w:val="left"/>
              <w:rPr>
                <w:rFonts w:ascii="Arial" w:hAnsi="Arial" w:cs="Arial"/>
                <w:color w:val="000000"/>
                <w:kern w:val="0"/>
                <w:sz w:val="20"/>
                <w:szCs w:val="20"/>
              </w:rPr>
            </w:pPr>
          </w:p>
        </w:tc>
        <w:tc>
          <w:tcPr>
            <w:tcW w:w="1419" w:type="dxa"/>
            <w:tcBorders>
              <w:tl2br w:val="nil"/>
              <w:tr2bl w:val="nil"/>
            </w:tcBorders>
            <w:vAlign w:val="bottom"/>
          </w:tcPr>
          <w:p>
            <w:pPr>
              <w:widowControl/>
              <w:jc w:val="left"/>
              <w:rPr>
                <w:rFonts w:ascii="Arial" w:hAnsi="Arial" w:cs="Arial"/>
                <w:color w:val="000000"/>
                <w:kern w:val="0"/>
                <w:sz w:val="20"/>
                <w:szCs w:val="20"/>
              </w:rPr>
            </w:pPr>
          </w:p>
        </w:tc>
        <w:tc>
          <w:tcPr>
            <w:tcW w:w="1489" w:type="dxa"/>
            <w:tcBorders>
              <w:tl2br w:val="nil"/>
              <w:tr2bl w:val="nil"/>
            </w:tcBorders>
            <w:vAlign w:val="bottom"/>
          </w:tcPr>
          <w:p>
            <w:pPr>
              <w:widowControl/>
              <w:jc w:val="left"/>
              <w:rPr>
                <w:rFonts w:ascii="Arial" w:hAnsi="Arial" w:cs="Arial"/>
                <w:color w:val="000000"/>
                <w:kern w:val="0"/>
                <w:sz w:val="20"/>
                <w:szCs w:val="20"/>
              </w:rPr>
            </w:pPr>
          </w:p>
        </w:tc>
        <w:tc>
          <w:tcPr>
            <w:tcW w:w="1142" w:type="dxa"/>
            <w:tcBorders>
              <w:tl2br w:val="nil"/>
              <w:tr2bl w:val="nil"/>
            </w:tcBorders>
            <w:vAlign w:val="bottom"/>
          </w:tcPr>
          <w:p>
            <w:pPr>
              <w:widowControl/>
              <w:jc w:val="left"/>
              <w:rPr>
                <w:rFonts w:ascii="Arial" w:hAnsi="Arial" w:cs="Arial"/>
                <w:color w:val="000000"/>
                <w:kern w:val="0"/>
                <w:sz w:val="20"/>
                <w:szCs w:val="20"/>
              </w:rPr>
            </w:pPr>
          </w:p>
        </w:tc>
        <w:tc>
          <w:tcPr>
            <w:tcW w:w="1108" w:type="dxa"/>
            <w:tcBorders>
              <w:tl2br w:val="nil"/>
              <w:tr2bl w:val="nil"/>
            </w:tcBorders>
            <w:vAlign w:val="bottom"/>
          </w:tcPr>
          <w:p>
            <w:pPr>
              <w:widowControl/>
              <w:jc w:val="left"/>
              <w:rPr>
                <w:rFonts w:ascii="Arial" w:hAnsi="Arial" w:cs="Arial"/>
                <w:color w:val="000000"/>
                <w:kern w:val="0"/>
                <w:sz w:val="20"/>
                <w:szCs w:val="20"/>
              </w:rPr>
            </w:pPr>
          </w:p>
        </w:tc>
        <w:tc>
          <w:tcPr>
            <w:tcW w:w="2249" w:type="dxa"/>
            <w:tcBorders>
              <w:tl2br w:val="nil"/>
              <w:tr2bl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117" w:type="dxa"/>
            <w:gridSpan w:val="4"/>
            <w:tcBorders>
              <w:bottom w:val="single" w:color="000000" w:sz="4" w:space="0"/>
              <w:tl2br w:val="nil"/>
              <w:tr2bl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1"/>
                <w:szCs w:val="21"/>
                <w:lang w:eastAsia="zh-CN"/>
              </w:rPr>
              <w:t>中卫市沙坡头区农业农村局（本级）</w:t>
            </w:r>
          </w:p>
        </w:tc>
        <w:tc>
          <w:tcPr>
            <w:tcW w:w="1558" w:type="dxa"/>
            <w:tcBorders>
              <w:bottom w:val="single" w:color="000000" w:sz="4" w:space="0"/>
              <w:tl2br w:val="nil"/>
              <w:tr2bl w:val="nil"/>
            </w:tcBorders>
            <w:vAlign w:val="bottom"/>
          </w:tcPr>
          <w:p>
            <w:pPr>
              <w:widowControl/>
              <w:jc w:val="left"/>
              <w:rPr>
                <w:rFonts w:ascii="Arial" w:hAnsi="Arial" w:cs="Arial"/>
                <w:color w:val="000000"/>
                <w:kern w:val="0"/>
                <w:sz w:val="20"/>
                <w:szCs w:val="20"/>
              </w:rPr>
            </w:pPr>
          </w:p>
        </w:tc>
        <w:tc>
          <w:tcPr>
            <w:tcW w:w="1419" w:type="dxa"/>
            <w:tcBorders>
              <w:bottom w:val="single" w:color="000000" w:sz="4" w:space="0"/>
              <w:tl2br w:val="nil"/>
              <w:tr2bl w:val="nil"/>
            </w:tcBorders>
            <w:vAlign w:val="bottom"/>
          </w:tcPr>
          <w:p>
            <w:pPr>
              <w:widowControl/>
              <w:jc w:val="center"/>
              <w:rPr>
                <w:rFonts w:ascii="宋体" w:hAnsi="宋体" w:cs="Arial"/>
                <w:color w:val="000000"/>
                <w:kern w:val="0"/>
                <w:sz w:val="24"/>
              </w:rPr>
            </w:pPr>
          </w:p>
        </w:tc>
        <w:tc>
          <w:tcPr>
            <w:tcW w:w="1489" w:type="dxa"/>
            <w:tcBorders>
              <w:bottom w:val="single" w:color="000000" w:sz="4" w:space="0"/>
              <w:tl2br w:val="nil"/>
              <w:tr2bl w:val="nil"/>
            </w:tcBorders>
            <w:vAlign w:val="bottom"/>
          </w:tcPr>
          <w:p>
            <w:pPr>
              <w:widowControl/>
              <w:jc w:val="left"/>
              <w:rPr>
                <w:rFonts w:ascii="Arial" w:hAnsi="Arial" w:cs="Arial"/>
                <w:color w:val="000000"/>
                <w:kern w:val="0"/>
                <w:sz w:val="20"/>
                <w:szCs w:val="20"/>
              </w:rPr>
            </w:pPr>
          </w:p>
        </w:tc>
        <w:tc>
          <w:tcPr>
            <w:tcW w:w="1142" w:type="dxa"/>
            <w:tcBorders>
              <w:bottom w:val="single" w:color="000000" w:sz="4" w:space="0"/>
              <w:tl2br w:val="nil"/>
              <w:tr2bl w:val="nil"/>
            </w:tcBorders>
            <w:vAlign w:val="bottom"/>
          </w:tcPr>
          <w:p>
            <w:pPr>
              <w:widowControl/>
              <w:jc w:val="left"/>
              <w:rPr>
                <w:rFonts w:ascii="Arial" w:hAnsi="Arial" w:cs="Arial"/>
                <w:color w:val="000000"/>
                <w:kern w:val="0"/>
                <w:sz w:val="20"/>
                <w:szCs w:val="20"/>
              </w:rPr>
            </w:pPr>
          </w:p>
        </w:tc>
        <w:tc>
          <w:tcPr>
            <w:tcW w:w="1108" w:type="dxa"/>
            <w:tcBorders>
              <w:bottom w:val="single" w:color="000000" w:sz="4" w:space="0"/>
              <w:tl2br w:val="nil"/>
              <w:tr2bl w:val="nil"/>
            </w:tcBorders>
            <w:vAlign w:val="bottom"/>
          </w:tcPr>
          <w:p>
            <w:pPr>
              <w:widowControl/>
              <w:jc w:val="left"/>
              <w:rPr>
                <w:rFonts w:ascii="Arial" w:hAnsi="Arial" w:cs="Arial"/>
                <w:color w:val="000000"/>
                <w:kern w:val="0"/>
                <w:sz w:val="20"/>
                <w:szCs w:val="20"/>
              </w:rPr>
            </w:pPr>
          </w:p>
        </w:tc>
        <w:tc>
          <w:tcPr>
            <w:tcW w:w="2249" w:type="dxa"/>
            <w:tcBorders>
              <w:bottom w:val="single" w:color="000000" w:sz="4" w:space="0"/>
              <w:tl2br w:val="nil"/>
              <w:tr2bl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1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155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本年支出合计</w:t>
            </w:r>
          </w:p>
        </w:tc>
        <w:tc>
          <w:tcPr>
            <w:tcW w:w="141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基本支出</w:t>
            </w:r>
          </w:p>
        </w:tc>
        <w:tc>
          <w:tcPr>
            <w:tcW w:w="148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项目支出</w:t>
            </w:r>
          </w:p>
        </w:tc>
        <w:tc>
          <w:tcPr>
            <w:tcW w:w="114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上缴上级支出</w:t>
            </w:r>
          </w:p>
        </w:tc>
        <w:tc>
          <w:tcPr>
            <w:tcW w:w="110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经营支出</w:t>
            </w:r>
          </w:p>
        </w:tc>
        <w:tc>
          <w:tcPr>
            <w:tcW w:w="2249"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94"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功能分类科目编码</w:t>
            </w:r>
          </w:p>
        </w:tc>
        <w:tc>
          <w:tcPr>
            <w:tcW w:w="392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科目名称</w:t>
            </w:r>
          </w:p>
        </w:tc>
        <w:tc>
          <w:tcPr>
            <w:tcW w:w="155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41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48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1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224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94"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392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55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41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48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1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224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94"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392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55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41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48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1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11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224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类</w:t>
            </w:r>
          </w:p>
        </w:tc>
        <w:tc>
          <w:tcPr>
            <w:tcW w:w="38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款</w:t>
            </w:r>
          </w:p>
        </w:tc>
        <w:tc>
          <w:tcPr>
            <w:tcW w:w="43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38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43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18"/>
                <w:szCs w:val="18"/>
              </w:rPr>
            </w:pP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313,481,844.95</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1,546,562.86</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b/>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311,935,282.09</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一般公共服务支出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44,936.07</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44,936.07</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18"/>
                <w:szCs w:val="18"/>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18"/>
                <w:szCs w:val="18"/>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20103</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40,269.57</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40,269.57</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2010399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其他政府办公厅（室）及相关机构事务支出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40,269.57</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40,269.57</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20113</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商贸事务</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4,666.50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4,666.50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2011308</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招商引资</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4,666.50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4,666.50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204</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公共安全支出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20,760.00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20,760.00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20406</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司法</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20,760.00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20,760.00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2040612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法制建设</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20,760.00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20,760.00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206</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科学技术支出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315,240.00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315,240.00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20604</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技术研究与开发</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315,240.00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315,240.00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2060499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其他技术研究与开发支出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315,240.00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315,240.00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社会保障和就业支出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480,574.93</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145,693.03</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334,881.90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民政管理事务</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2080299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其他民政管理事务支出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20805</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行政事业单位离退休</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145,693.03</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145,693.03</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2080504</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未归口管理的行政单位离退休</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6,000.00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2080505</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107,356.32</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107,356.32</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2080506</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机关事业单位职业年金缴费支出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32,336.71</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32,336.71</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20807</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就业补助</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328,881.90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328,881.90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2080705</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公益性岗位补贴</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328,881.90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328,881.90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卫生健康支出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76,249.24</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76,249.24</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21011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行政事业单位医疗</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76,249.24</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76,249.24</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2101101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行政单位医疗</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49,745.36</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49,745.36</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2101103</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26,503.88</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26,503.88</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46,600,759.00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46,600,759.00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21104</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自然生态保护</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45,463,260.00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45,463,260.00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2110402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农村环境保护</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45,463,260.00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45,463,260.00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21106</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退耕还林</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1,137,499.00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1,137,499.00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2110602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退耕现金</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1,097,521.00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1,097,521.00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2110699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其他退耕还林支出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39,978.00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39,978.00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城乡社区支出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15,090,000.00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15,090,000.00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21201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城乡社区管理事务</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15,090,000.00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15,090,000.00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2120199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其他城乡社区管理事务支出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15,090,000.00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15,090,000.00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农林水支出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250,279,540.61</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1,196,518.49</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249,083,022.12</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农业</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232,190,938.89</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1,196,518.49</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230,994,420.40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行政运行</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1,196,518.49</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1,196,518.49</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213,652.44</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213,652.44</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2130106</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科技转化与推广服务</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4,992,229.26</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4,992,229.26</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2130108</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病虫害控制</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4,992,050.00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4,992,050.00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2130109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农产品质量安全</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91,052.00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91,052.00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2130110</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执法监管</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148,000.00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148,000.00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2130112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农业行业业务管理</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2130119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防灾救灾</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3,299,209.00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3,299,209.00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2130120</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稳定农民收入补贴</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400,000.00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农业结构调整补贴</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17,259,600.00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17,259,600.00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农业生产支持补贴</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65,579,066.10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65,579,066.10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2130124</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农业组织化与产业化经营</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28,707,287.00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28,707,287.00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2130125</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农产品加工与促销</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2130126</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农村公益事业</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340,000.00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340,000.00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2130135</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农业资源保护修复与利用</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30,993,816.63</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30,993,816.63</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2130199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其他农业支出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73,938,457.97</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73,938,457.97</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林业和草原</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2,587,705.72</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2,587,705.72</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2130205</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森林培育</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1,928,560.00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1,928,560.00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2130210</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自然保护区等管理</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19,800.00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19,800.00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2130221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产业化管理</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529,477.72</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529,477.72</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2130223</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信息管理</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63,868.00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63,868.00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2130237</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行业业务管理</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46,000.00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46,000.00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21303</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水利</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3,320.00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3,320.00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2130316</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农田水利</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3,320.00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3,320.00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21308</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普惠金融发展支出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3,177,836.00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3,177,836.00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2130803</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农业保险保费补贴</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3,177,836.00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3,177,836.00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21399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其他农林水支出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12,319,740.00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12,319,740.00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2139999</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其他农林水支出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12,319,740.00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12,319,740.00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住房保障支出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22102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住房改革支出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2210201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住房公积金</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128,102.10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222</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粮油物资储备支出</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445,683.00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445,683.00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22204</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粮油储备</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445,683.00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445,683.00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9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2220401</w:t>
            </w:r>
          </w:p>
        </w:tc>
        <w:tc>
          <w:tcPr>
            <w:tcW w:w="3923"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 xml:space="preserve">  储备粮油补贴</w:t>
            </w:r>
          </w:p>
        </w:tc>
        <w:tc>
          <w:tcPr>
            <w:tcW w:w="1558"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445,683.00</w:t>
            </w:r>
          </w:p>
        </w:tc>
        <w:tc>
          <w:tcPr>
            <w:tcW w:w="141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0.00</w:t>
            </w:r>
          </w:p>
        </w:tc>
        <w:tc>
          <w:tcPr>
            <w:tcW w:w="1489"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445,683.00</w:t>
            </w:r>
          </w:p>
        </w:tc>
        <w:tc>
          <w:tcPr>
            <w:tcW w:w="114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1108"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82" w:type="dxa"/>
            <w:gridSpan w:val="10"/>
            <w:tcBorders>
              <w:tl2br w:val="nil"/>
              <w:tr2bl w:val="nil"/>
            </w:tcBorders>
            <w:vAlign w:val="bottom"/>
          </w:tcPr>
          <w:p>
            <w:pPr>
              <w:widowControl/>
              <w:jc w:val="left"/>
              <w:rPr>
                <w:rFonts w:hint="eastAsia" w:ascii="宋体" w:hAnsi="宋体" w:cs="Arial"/>
                <w:color w:val="000000"/>
                <w:kern w:val="0"/>
                <w:sz w:val="22"/>
                <w:szCs w:val="22"/>
              </w:rPr>
            </w:pPr>
          </w:p>
        </w:tc>
      </w:tr>
    </w:tbl>
    <w:p>
      <w:pPr>
        <w:spacing w:line="580" w:lineRule="exact"/>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80" w:lineRule="exact"/>
        <w:rPr>
          <w:rFonts w:hint="eastAsia"/>
        </w:rPr>
      </w:pPr>
    </w:p>
    <w:p>
      <w:pPr>
        <w:pStyle w:val="2"/>
        <w:rPr>
          <w:rFonts w:hint="eastAsia"/>
        </w:rPr>
      </w:pPr>
    </w:p>
    <w:p>
      <w:pPr>
        <w:pStyle w:val="2"/>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51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vAlign w:val="bottom"/>
          </w:tcPr>
          <w:p>
            <w:pPr>
              <w:widowControl/>
              <w:jc w:val="center"/>
              <w:rPr>
                <w:rFonts w:hint="eastAsia" w:ascii="方正小标宋_GBK" w:hAnsi="方正小标宋_GBK" w:eastAsia="方正小标宋_GBK" w:cs="方正小标宋_GBK"/>
                <w:b w:val="0"/>
                <w:bCs w:val="0"/>
                <w:color w:val="000000"/>
                <w:kern w:val="0"/>
                <w:sz w:val="36"/>
                <w:szCs w:val="36"/>
              </w:rPr>
            </w:pPr>
          </w:p>
          <w:p>
            <w:pPr>
              <w:widowControl/>
              <w:jc w:val="center"/>
              <w:rPr>
                <w:rFonts w:hint="eastAsia" w:ascii="方正小标宋_GBK" w:hAnsi="方正小标宋_GBK" w:eastAsia="方正小标宋_GBK" w:cs="方正小标宋_GBK"/>
                <w:b w:val="0"/>
                <w:bCs w:val="0"/>
                <w:color w:val="000000"/>
                <w:kern w:val="0"/>
                <w:sz w:val="36"/>
                <w:szCs w:val="36"/>
              </w:rPr>
            </w:pPr>
          </w:p>
          <w:p>
            <w:pPr>
              <w:pStyle w:val="2"/>
              <w:rPr>
                <w:rFonts w:hint="eastAsia" w:ascii="方正小标宋_GBK" w:hAnsi="方正小标宋_GBK" w:eastAsia="方正小标宋_GBK" w:cs="方正小标宋_GBK"/>
                <w:b w:val="0"/>
                <w:bCs w:val="0"/>
                <w:color w:val="000000"/>
                <w:kern w:val="0"/>
                <w:sz w:val="36"/>
                <w:szCs w:val="36"/>
              </w:rPr>
            </w:pPr>
          </w:p>
          <w:p>
            <w:pPr>
              <w:rPr>
                <w:rFonts w:hint="eastAsia" w:ascii="方正小标宋_GBK" w:hAnsi="方正小标宋_GBK" w:eastAsia="方正小标宋_GBK" w:cs="方正小标宋_GBK"/>
                <w:b w:val="0"/>
                <w:bCs w:val="0"/>
                <w:color w:val="000000"/>
                <w:kern w:val="0"/>
                <w:sz w:val="36"/>
                <w:szCs w:val="36"/>
              </w:rPr>
            </w:pPr>
          </w:p>
          <w:p>
            <w:pPr>
              <w:pStyle w:val="2"/>
              <w:rPr>
                <w:rFonts w:hint="eastAsia"/>
              </w:rPr>
            </w:pPr>
          </w:p>
          <w:p>
            <w:pPr>
              <w:widowControl/>
              <w:jc w:val="center"/>
              <w:rPr>
                <w:rFonts w:hint="eastAsia" w:ascii="方正小标宋_GBK" w:hAnsi="方正小标宋_GBK" w:eastAsia="方正小标宋_GBK" w:cs="方正小标宋_GBK"/>
                <w:b w:val="0"/>
                <w:bCs w:val="0"/>
                <w:color w:val="000000"/>
                <w:kern w:val="0"/>
                <w:sz w:val="36"/>
                <w:szCs w:val="36"/>
              </w:rPr>
            </w:pPr>
          </w:p>
          <w:p>
            <w:pPr>
              <w:widowControl/>
              <w:jc w:val="center"/>
              <w:rPr>
                <w:rFonts w:ascii="宋体" w:hAnsi="宋体" w:cs="Arial"/>
                <w:color w:val="000000"/>
                <w:kern w:val="0"/>
                <w:sz w:val="40"/>
                <w:szCs w:val="40"/>
              </w:rPr>
            </w:pPr>
            <w:r>
              <w:rPr>
                <w:rFonts w:hint="eastAsia" w:ascii="方正小标宋_GBK" w:hAnsi="方正小标宋_GBK" w:eastAsia="方正小标宋_GBK" w:cs="方正小标宋_GBK"/>
                <w:b w:val="0"/>
                <w:bCs w:val="0"/>
                <w:color w:val="000000"/>
                <w:kern w:val="0"/>
                <w:sz w:val="36"/>
                <w:szCs w:val="36"/>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0"/>
                <w:szCs w:val="20"/>
                <w:lang w:eastAsia="zh-CN"/>
              </w:rPr>
              <w:t>中卫市沙坡头区农业农村局（本级）</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eastAsia="宋体" w:cs="宋体"/>
                <w:i w:val="0"/>
                <w:color w:val="000000"/>
                <w:kern w:val="0"/>
                <w:sz w:val="20"/>
                <w:szCs w:val="20"/>
                <w:u w:val="none"/>
                <w:lang w:val="en-US" w:eastAsia="zh-CN" w:bidi="ar"/>
              </w:rPr>
              <w:t>366,378,308.61</w:t>
            </w: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40,269.57</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40,269.57</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20,760.00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20,760.00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315,240.00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315,240.00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277,085.46</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277,085.46</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76,249.24</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76,249.24</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44,111,838.00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44,111,838.00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15,090,000.00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15,090,000.00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185,855,580.45</w:t>
            </w:r>
          </w:p>
        </w:tc>
        <w:tc>
          <w:tcPr>
            <w:tcW w:w="2112"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185,855,580.45</w:t>
            </w:r>
          </w:p>
        </w:tc>
        <w:tc>
          <w:tcPr>
            <w:tcW w:w="229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128,102.10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128,102.10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445,683.00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445,683.00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21</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576"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val="en-US" w:eastAsia="zh-CN"/>
              </w:rPr>
              <w:t>50</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576"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0.00</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23</w:t>
            </w:r>
          </w:p>
        </w:tc>
        <w:tc>
          <w:tcPr>
            <w:tcW w:w="1834"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0"/>
                <w:szCs w:val="20"/>
              </w:rPr>
            </w:pPr>
          </w:p>
        </w:tc>
        <w:tc>
          <w:tcPr>
            <w:tcW w:w="2978" w:type="dxa"/>
            <w:tcBorders>
              <w:top w:val="nil"/>
              <w:left w:val="nil"/>
              <w:bottom w:val="single" w:color="000000" w:sz="4" w:space="0"/>
              <w:right w:val="single" w:color="000000" w:sz="4" w:space="0"/>
            </w:tcBorders>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576"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lang w:val="en-US"/>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2052" w:type="dxa"/>
            <w:gridSpan w:val="2"/>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2112" w:type="dxa"/>
            <w:gridSpan w:val="3"/>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w:t>
            </w:r>
          </w:p>
        </w:tc>
        <w:tc>
          <w:tcPr>
            <w:tcW w:w="1834"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20"/>
                <w:szCs w:val="20"/>
              </w:rPr>
            </w:pPr>
          </w:p>
        </w:tc>
        <w:tc>
          <w:tcPr>
            <w:tcW w:w="2978" w:type="dxa"/>
            <w:tcBorders>
              <w:top w:val="nil"/>
              <w:left w:val="nil"/>
              <w:bottom w:val="single" w:color="000000" w:sz="4" w:space="0"/>
              <w:right w:val="single" w:color="000000" w:sz="4" w:space="0"/>
            </w:tcBorders>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576"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2112" w:type="dxa"/>
            <w:gridSpan w:val="3"/>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2295" w:type="dxa"/>
            <w:gridSpan w:val="2"/>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83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366,378,308.61</w:t>
            </w:r>
          </w:p>
        </w:tc>
        <w:tc>
          <w:tcPr>
            <w:tcW w:w="2978"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246,360,807.82</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246,360,807.82</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83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15,331,031.65</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55</w:t>
            </w:r>
          </w:p>
        </w:tc>
        <w:tc>
          <w:tcPr>
            <w:tcW w:w="2052"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135,348,532.44</w:t>
            </w:r>
          </w:p>
        </w:tc>
        <w:tc>
          <w:tcPr>
            <w:tcW w:w="211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135,348,532.44</w:t>
            </w: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27</w:t>
            </w:r>
          </w:p>
        </w:tc>
        <w:tc>
          <w:tcPr>
            <w:tcW w:w="1834"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15,331,031.65</w:t>
            </w:r>
          </w:p>
        </w:tc>
        <w:tc>
          <w:tcPr>
            <w:tcW w:w="29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56</w:t>
            </w:r>
          </w:p>
        </w:tc>
        <w:tc>
          <w:tcPr>
            <w:tcW w:w="2052" w:type="dxa"/>
            <w:gridSpan w:val="2"/>
            <w:tcBorders>
              <w:top w:val="nil"/>
              <w:left w:val="nil"/>
              <w:bottom w:val="single" w:color="000000" w:sz="4" w:space="0"/>
              <w:right w:val="single" w:color="000000" w:sz="4" w:space="0"/>
            </w:tcBorders>
            <w:vAlign w:val="center"/>
          </w:tcPr>
          <w:p>
            <w:pPr>
              <w:jc w:val="right"/>
              <w:rPr>
                <w:rFonts w:hint="eastAsia" w:ascii="宋体" w:hAnsi="宋体" w:eastAsia="宋体" w:cs="宋体"/>
                <w:i w:val="0"/>
                <w:color w:val="000000"/>
                <w:kern w:val="2"/>
                <w:sz w:val="20"/>
                <w:szCs w:val="20"/>
                <w:u w:val="none"/>
                <w:lang w:val="en-US" w:eastAsia="zh-CN" w:bidi="ar-SA"/>
              </w:rPr>
            </w:pPr>
          </w:p>
        </w:tc>
        <w:tc>
          <w:tcPr>
            <w:tcW w:w="2112" w:type="dxa"/>
            <w:gridSpan w:val="3"/>
            <w:tcBorders>
              <w:top w:val="nil"/>
              <w:left w:val="nil"/>
              <w:bottom w:val="single" w:color="000000" w:sz="4" w:space="0"/>
              <w:right w:val="single" w:color="000000" w:sz="4" w:space="0"/>
            </w:tcBorders>
            <w:vAlign w:val="center"/>
          </w:tcPr>
          <w:p>
            <w:pPr>
              <w:jc w:val="right"/>
              <w:rPr>
                <w:rFonts w:hint="eastAsia" w:ascii="宋体" w:hAnsi="宋体" w:eastAsia="宋体" w:cs="宋体"/>
                <w:i w:val="0"/>
                <w:color w:val="000000"/>
                <w:kern w:val="2"/>
                <w:sz w:val="20"/>
                <w:szCs w:val="20"/>
                <w:u w:val="none"/>
                <w:lang w:val="en-US" w:eastAsia="zh-CN" w:bidi="ar-SA"/>
              </w:rPr>
            </w:pPr>
          </w:p>
        </w:tc>
        <w:tc>
          <w:tcPr>
            <w:tcW w:w="229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28</w:t>
            </w:r>
          </w:p>
        </w:tc>
        <w:tc>
          <w:tcPr>
            <w:tcW w:w="1834"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2"/>
                <w:sz w:val="20"/>
                <w:szCs w:val="20"/>
                <w:u w:val="none"/>
                <w:lang w:val="en-US" w:eastAsia="zh-CN" w:bidi="ar-SA"/>
              </w:rPr>
            </w:pPr>
            <w:r>
              <w:rPr>
                <w:rFonts w:hint="eastAsia" w:ascii="宋体" w:hAnsi="宋体" w:cs="宋体"/>
                <w:i w:val="0"/>
                <w:color w:val="000000"/>
                <w:kern w:val="2"/>
                <w:sz w:val="20"/>
                <w:szCs w:val="20"/>
                <w:u w:val="none"/>
                <w:lang w:val="en-US" w:eastAsia="zh-CN" w:bidi="ar-SA"/>
              </w:rPr>
              <w:t>0.00</w:t>
            </w:r>
          </w:p>
        </w:tc>
        <w:tc>
          <w:tcPr>
            <w:tcW w:w="29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rPr>
            </w:pPr>
          </w:p>
        </w:tc>
        <w:tc>
          <w:tcPr>
            <w:tcW w:w="2052" w:type="dxa"/>
            <w:gridSpan w:val="2"/>
            <w:tcBorders>
              <w:top w:val="nil"/>
              <w:left w:val="nil"/>
              <w:bottom w:val="single" w:color="auto" w:sz="4" w:space="0"/>
              <w:right w:val="single" w:color="000000" w:sz="4" w:space="0"/>
            </w:tcBorders>
            <w:vAlign w:val="center"/>
          </w:tcPr>
          <w:p>
            <w:pPr>
              <w:jc w:val="right"/>
              <w:rPr>
                <w:rFonts w:hint="eastAsia" w:ascii="宋体" w:hAnsi="宋体" w:eastAsia="宋体" w:cs="宋体"/>
                <w:i w:val="0"/>
                <w:color w:val="000000"/>
                <w:kern w:val="2"/>
                <w:sz w:val="20"/>
                <w:szCs w:val="20"/>
                <w:u w:val="none"/>
                <w:lang w:val="en-US" w:eastAsia="zh-CN" w:bidi="ar-SA"/>
              </w:rPr>
            </w:pPr>
          </w:p>
        </w:tc>
        <w:tc>
          <w:tcPr>
            <w:tcW w:w="2112" w:type="dxa"/>
            <w:gridSpan w:val="3"/>
            <w:tcBorders>
              <w:top w:val="nil"/>
              <w:left w:val="nil"/>
              <w:bottom w:val="single" w:color="auto" w:sz="4" w:space="0"/>
              <w:right w:val="single" w:color="000000" w:sz="4" w:space="0"/>
            </w:tcBorders>
            <w:vAlign w:val="center"/>
          </w:tcPr>
          <w:p>
            <w:pPr>
              <w:jc w:val="right"/>
              <w:rPr>
                <w:rFonts w:hint="eastAsia" w:ascii="宋体" w:hAnsi="宋体" w:eastAsia="宋体" w:cs="宋体"/>
                <w:i w:val="0"/>
                <w:color w:val="000000"/>
                <w:kern w:val="2"/>
                <w:sz w:val="20"/>
                <w:szCs w:val="20"/>
                <w:u w:val="none"/>
                <w:lang w:val="en-US" w:eastAsia="zh-CN" w:bidi="ar-SA"/>
              </w:rPr>
            </w:pPr>
          </w:p>
        </w:tc>
        <w:tc>
          <w:tcPr>
            <w:tcW w:w="229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29</w:t>
            </w:r>
          </w:p>
        </w:tc>
        <w:tc>
          <w:tcPr>
            <w:tcW w:w="18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b/>
                <w:bCs/>
                <w:i w:val="0"/>
                <w:color w:val="000000"/>
                <w:kern w:val="0"/>
                <w:sz w:val="20"/>
                <w:szCs w:val="20"/>
                <w:u w:val="none"/>
                <w:lang w:val="en-US" w:eastAsia="zh-CN" w:bidi="ar"/>
              </w:rPr>
              <w:t>381,709,340.26</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rPr>
            </w:pPr>
          </w:p>
        </w:tc>
        <w:tc>
          <w:tcPr>
            <w:tcW w:w="205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381,709,340.26</w:t>
            </w:r>
          </w:p>
        </w:tc>
        <w:tc>
          <w:tcPr>
            <w:tcW w:w="21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b/>
                <w:bCs/>
                <w:i w:val="0"/>
                <w:color w:val="000000"/>
                <w:kern w:val="0"/>
                <w:sz w:val="20"/>
                <w:szCs w:val="20"/>
                <w:u w:val="none"/>
                <w:lang w:val="en-US" w:eastAsia="zh-CN" w:bidi="ar"/>
              </w:rPr>
            </w:pPr>
            <w:r>
              <w:rPr>
                <w:rFonts w:hint="eastAsia" w:ascii="宋体" w:hAnsi="宋体" w:eastAsia="宋体" w:cs="宋体"/>
                <w:b/>
                <w:bCs/>
                <w:i w:val="0"/>
                <w:color w:val="000000"/>
                <w:kern w:val="0"/>
                <w:sz w:val="20"/>
                <w:szCs w:val="20"/>
                <w:u w:val="none"/>
                <w:lang w:val="en-US" w:eastAsia="zh-CN" w:bidi="ar"/>
              </w:rPr>
              <w:t>381,709,340.26</w:t>
            </w:r>
          </w:p>
        </w:tc>
        <w:tc>
          <w:tcPr>
            <w:tcW w:w="229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11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5"/>
        <w:gridCol w:w="426"/>
        <w:gridCol w:w="416"/>
        <w:gridCol w:w="3750"/>
        <w:gridCol w:w="1936"/>
        <w:gridCol w:w="2285"/>
        <w:gridCol w:w="1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jc w:val="center"/>
        </w:trPr>
        <w:tc>
          <w:tcPr>
            <w:tcW w:w="11147" w:type="dxa"/>
            <w:gridSpan w:val="7"/>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1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89"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493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1"/>
                <w:szCs w:val="21"/>
                <w:lang w:eastAsia="zh-CN"/>
              </w:rPr>
              <w:t>中卫市沙坡头区农业农村局（本级）</w:t>
            </w:r>
          </w:p>
        </w:tc>
        <w:tc>
          <w:tcPr>
            <w:tcW w:w="193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85" w:type="dxa"/>
            <w:tcBorders>
              <w:top w:val="nil"/>
              <w:left w:val="nil"/>
              <w:bottom w:val="nil"/>
              <w:right w:val="nil"/>
            </w:tcBorders>
            <w:vAlign w:val="bottom"/>
          </w:tcPr>
          <w:p>
            <w:pPr>
              <w:widowControl/>
              <w:jc w:val="center"/>
              <w:rPr>
                <w:rFonts w:ascii="宋体" w:hAnsi="宋体" w:cs="Arial"/>
                <w:color w:val="000000"/>
                <w:kern w:val="0"/>
                <w:sz w:val="24"/>
              </w:rPr>
            </w:pPr>
          </w:p>
        </w:tc>
        <w:tc>
          <w:tcPr>
            <w:tcW w:w="1989"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93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3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8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98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87"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5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8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18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5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4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1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3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9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4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val="0"/>
                <w:i w:val="0"/>
                <w:color w:val="000000"/>
                <w:kern w:val="2"/>
                <w:sz w:val="20"/>
                <w:szCs w:val="20"/>
                <w:u w:val="none"/>
                <w:lang w:val="en-US" w:eastAsia="zh-CN" w:bidi="ar-SA"/>
              </w:rPr>
            </w:pPr>
            <w:r>
              <w:rPr>
                <w:rFonts w:hint="eastAsia" w:ascii="宋体" w:hAnsi="宋体" w:eastAsia="宋体" w:cs="宋体"/>
                <w:b/>
                <w:bCs w:val="0"/>
                <w:i w:val="0"/>
                <w:color w:val="000000"/>
                <w:kern w:val="0"/>
                <w:sz w:val="20"/>
                <w:szCs w:val="20"/>
                <w:u w:val="none"/>
                <w:lang w:val="en-US" w:eastAsia="zh-CN" w:bidi="ar"/>
              </w:rPr>
              <w:t>246,360,807.82</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val="0"/>
                <w:i w:val="0"/>
                <w:color w:val="000000"/>
                <w:kern w:val="2"/>
                <w:sz w:val="20"/>
                <w:szCs w:val="20"/>
                <w:u w:val="none"/>
                <w:lang w:val="en-US" w:eastAsia="zh-CN" w:bidi="ar-SA"/>
              </w:rPr>
            </w:pPr>
            <w:r>
              <w:rPr>
                <w:rFonts w:hint="eastAsia" w:ascii="宋体" w:hAnsi="宋体" w:eastAsia="宋体" w:cs="宋体"/>
                <w:b/>
                <w:bCs w:val="0"/>
                <w:i w:val="0"/>
                <w:color w:val="000000"/>
                <w:kern w:val="0"/>
                <w:sz w:val="20"/>
                <w:szCs w:val="20"/>
                <w:u w:val="none"/>
                <w:lang w:val="en-US" w:eastAsia="zh-CN" w:bidi="ar"/>
              </w:rPr>
              <w:t>1,525,596.61</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b/>
                <w:bCs w:val="0"/>
                <w:i w:val="0"/>
                <w:color w:val="000000"/>
                <w:kern w:val="2"/>
                <w:sz w:val="20"/>
                <w:szCs w:val="20"/>
                <w:u w:val="none"/>
                <w:lang w:val="en-US" w:eastAsia="zh-CN" w:bidi="ar-SA"/>
              </w:rPr>
            </w:pPr>
            <w:r>
              <w:rPr>
                <w:rFonts w:hint="eastAsia" w:ascii="宋体" w:hAnsi="宋体" w:eastAsia="宋体" w:cs="宋体"/>
                <w:b/>
                <w:bCs w:val="0"/>
                <w:i w:val="0"/>
                <w:color w:val="000000"/>
                <w:kern w:val="0"/>
                <w:sz w:val="20"/>
                <w:szCs w:val="20"/>
                <w:u w:val="none"/>
                <w:lang w:val="en-US" w:eastAsia="zh-CN" w:bidi="ar"/>
              </w:rPr>
              <w:t>244,835,211.21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201</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一般公共服务支出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40,269.57</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40,269.57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20103</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政府办公厅（室）及相关机构事务</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40,269.57</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40,269.57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2010399</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其他政府办公厅（室）及相关机构事务支出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40,269.57</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40,269.57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204</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公共安全支出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20,760.00</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20406</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司法</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20,760.00</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2040612</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法制建设</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20,760.00</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206</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科学技术支出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315,240.00</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315,240.00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20604</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技术研究与开发</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315,240.00</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315,240.00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2060499</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其他技术研究与开发支出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315,240.00</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315,240.00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社会保障和就业支出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277,085.46</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124,896.27</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152,189.19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20802</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民政管理事务</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6,000.00</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2080299</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其他民政管理事务支出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6,000.00</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20805</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行政事业单位离退休</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124,896.27</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124,896.27</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2080504</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未归口管理的行政单位离退休</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6,000.00</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6,000.00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2080505</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107,356.32</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107,356.32</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2080506</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11,539.95</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11,539.95</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20807</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就业补助</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146,189.19</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146,189.19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2080705</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公益性岗位补贴</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146,189.19</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146,189.19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210</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卫生健康支出</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76,249.24</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76,249.24</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21011</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行政事业单位医疗</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76,249.24</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76,249.24</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2101101</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行政单位医疗</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49,745.36</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49,745.36</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2101103</w:t>
            </w:r>
          </w:p>
        </w:tc>
        <w:tc>
          <w:tcPr>
            <w:tcW w:w="3750"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93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26,503.88</w:t>
            </w:r>
          </w:p>
        </w:tc>
        <w:tc>
          <w:tcPr>
            <w:tcW w:w="228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26,503.88</w:t>
            </w:r>
          </w:p>
        </w:tc>
        <w:tc>
          <w:tcPr>
            <w:tcW w:w="19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211</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节能环保支出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44,111,838.00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44,111,838.00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21104</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自然生态保护</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44,071,860.00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44,071,860.00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2110402</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农村环境保护</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44,071,860.00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44,071,860.00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21106</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退耕还林</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39,978.00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39,978.00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2110699</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其他退耕还林支出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39,978.00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39,978.00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21108</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退牧还草</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2110804</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退牧还草工程建设</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212</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城乡社区支出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15,090,000.00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15,090,000.00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21201</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城乡社区管理事务</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15,090,000.00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15,090,000.00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2120199</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其他城乡社区管理事务支出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15,090,000.00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15,090,000.00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农林水支出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185,855,580.45</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1,196,349.00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184,659,231.45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农业</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167,766,978.73</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1,196,349.00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166,570,629.73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2130101</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行政运行</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1,196,349.00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1,196,349.00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2130102</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197,181.55</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197,181.55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2130106</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科技转化与推广服务</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3,992,229.26</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3,992,229.26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2130108</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病虫害控制</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4,992,050.00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4,992,050.00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2130109</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农产品质量安全</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91,052.00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91,052.00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2130110</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执法监管</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148,000.00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148,000.00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2130112</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农业行业业务管理</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30,000.00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2130119</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防灾救灾</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2,149,700.00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2,149,700.00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2130120</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稳定农民收入补贴</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400,000.00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2130121</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农业结构调整补贴</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16,700,000.00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16,700,000.00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2130122</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农业生产支持补贴</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12,493,990.00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12,493,990.00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2130124</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农业组织化与产业化经营</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21,602,416.95</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21,602,416.95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2130126</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农村公益事业</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340,000.00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2130135</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农业资源保护修复与利用</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30,896,336.00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30,896,336.00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2130199</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其他农业支出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72,537,673.97</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72,537,673.97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21302</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林业和草原</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2,587,705.72</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2,587,705.72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2130205</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森林培育</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1,928,560.00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1,928,560.00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2130210</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自然保护区等管理</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19,800.00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19,800.00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2130221</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产业化管理</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529,477.72</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529,477.72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2130223</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信息管理</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63,868.00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63,868.00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2130237</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行业业务管理</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46,000.00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21303</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水利</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3,320.00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2130316</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农田水利</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3,320.00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21306</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农业综合开发</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2130602</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土地治理</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2130603</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产业化发展</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2130699</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其他农业综合开发支出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21308</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普惠金融发展支出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3,177,836.00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3,177,836.00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2130803</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农业保险保费补贴</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3,177,836.00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3,177,836.00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21399</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其他农林水支出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12,319,740.00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12,319,740.00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2139999</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其他农林水支出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12,319,740.00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12,319,740.00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221</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住房保障支出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128,102.10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128,102.10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22102</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住房改革支出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128,102.10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128,102.10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2210201</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住房公积金</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128,102.10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128,102.10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222</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粮油物资储备支出</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445,683.00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445,683.00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22204</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粮油储备</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445,683.00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445,683.00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187"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2220401</w:t>
            </w:r>
          </w:p>
        </w:tc>
        <w:tc>
          <w:tcPr>
            <w:tcW w:w="3750"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储备粮油补贴</w:t>
            </w:r>
          </w:p>
        </w:tc>
        <w:tc>
          <w:tcPr>
            <w:tcW w:w="193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445,683.00</w:t>
            </w:r>
          </w:p>
        </w:tc>
        <w:tc>
          <w:tcPr>
            <w:tcW w:w="228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0.00</w:t>
            </w:r>
          </w:p>
        </w:tc>
        <w:tc>
          <w:tcPr>
            <w:tcW w:w="198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445,683.00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147"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4"/>
        <w:tblpPr w:leftFromText="180" w:rightFromText="180" w:vertAnchor="text" w:horzAnchor="page" w:tblpX="1406" w:tblpY="-721"/>
        <w:tblOverlap w:val="never"/>
        <w:tblW w:w="13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32" w:hRule="exact"/>
        </w:trPr>
        <w:tc>
          <w:tcPr>
            <w:tcW w:w="13880" w:type="dxa"/>
            <w:gridSpan w:val="11"/>
            <w:tcBorders>
              <w:top w:val="nil"/>
              <w:left w:val="nil"/>
              <w:bottom w:val="nil"/>
              <w:right w:val="nil"/>
            </w:tcBorders>
            <w:tcMar>
              <w:top w:w="12" w:type="dxa"/>
              <w:left w:w="12" w:type="dxa"/>
              <w:right w:w="12" w:type="dxa"/>
            </w:tcMar>
            <w:vAlign w:val="center"/>
          </w:tcPr>
          <w:p>
            <w:pPr>
              <w:widowControl/>
              <w:jc w:val="center"/>
              <w:textAlignment w:val="center"/>
              <w:rPr>
                <w:rFonts w:hint="eastAsia" w:ascii="宋体" w:hAnsi="宋体" w:cs="Arial"/>
                <w:b/>
                <w:bCs/>
                <w:color w:val="000000"/>
                <w:kern w:val="0"/>
                <w:sz w:val="36"/>
                <w:szCs w:val="36"/>
              </w:rPr>
            </w:pPr>
          </w:p>
          <w:p>
            <w:pPr>
              <w:widowControl/>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tcMar>
              <w:top w:w="12" w:type="dxa"/>
              <w:left w:w="12" w:type="dxa"/>
              <w:right w:w="12" w:type="dxa"/>
            </w:tcMar>
            <w:vAlign w:val="center"/>
          </w:tcPr>
          <w:p>
            <w:pPr>
              <w:widowControl/>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rPr>
              <w:t>公开</w:t>
            </w:r>
            <w:r>
              <w:rPr>
                <w:rFonts w:hint="default" w:ascii="Arial" w:hAnsi="Arial" w:eastAsia="宋体" w:cs="Arial"/>
                <w:i w:val="0"/>
                <w:color w:val="000000"/>
                <w:kern w:val="0"/>
                <w:sz w:val="21"/>
                <w:szCs w:val="21"/>
                <w:u w:val="none"/>
                <w:lang w:val="en-US" w:eastAsia="zh-CN"/>
              </w:rPr>
              <w:t>部门：</w:t>
            </w:r>
            <w:r>
              <w:rPr>
                <w:rFonts w:hint="eastAsia" w:ascii="宋体" w:hAnsi="宋体" w:cs="Arial"/>
                <w:color w:val="000000"/>
                <w:kern w:val="0"/>
                <w:sz w:val="21"/>
                <w:szCs w:val="21"/>
                <w:lang w:eastAsia="zh-CN"/>
              </w:rPr>
              <w:t>中卫市沙坡头区农业农村局（本级）</w:t>
            </w:r>
          </w:p>
        </w:tc>
        <w:tc>
          <w:tcPr>
            <w:tcW w:w="7890" w:type="dxa"/>
            <w:gridSpan w:val="6"/>
            <w:tcBorders>
              <w:top w:val="nil"/>
              <w:left w:val="nil"/>
              <w:bottom w:val="nil"/>
              <w:right w:val="nil"/>
            </w:tcBorders>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tcMar>
              <w:top w:w="12" w:type="dxa"/>
              <w:left w:w="12" w:type="dxa"/>
              <w:right w:w="12" w:type="dxa"/>
            </w:tcMar>
            <w:vAlign w:val="center"/>
          </w:tcPr>
          <w:p>
            <w:pPr>
              <w:widowControl/>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金额单位：元</w:t>
            </w:r>
            <w:r>
              <w:rPr>
                <w:rFonts w:hint="eastAsia" w:ascii="宋体" w:hAnsi="宋体" w:eastAsia="宋体" w:cs="宋体"/>
                <w:i w:val="0"/>
                <w:vanish/>
                <w:color w:val="000000"/>
                <w:kern w:val="0"/>
                <w:sz w:val="21"/>
                <w:szCs w:val="21"/>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4554" w:type="dxa"/>
            <w:gridSpan w:val="3"/>
            <w:tcBorders>
              <w:top w:val="single" w:color="auto" w:sz="8" w:space="0"/>
              <w:left w:val="single" w:color="auto" w:sz="8"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人员经费</w:t>
            </w:r>
          </w:p>
        </w:tc>
        <w:tc>
          <w:tcPr>
            <w:tcW w:w="9326" w:type="dxa"/>
            <w:gridSpan w:val="8"/>
            <w:tcBorders>
              <w:top w:val="single" w:color="auto" w:sz="8" w:space="0"/>
              <w:left w:val="single" w:color="auto" w:sz="4" w:space="0"/>
              <w:bottom w:val="single" w:color="auto" w:sz="4" w:space="0"/>
              <w:right w:val="single" w:color="auto" w:sz="8"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科目编码</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科目名称</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default" w:ascii="Arial" w:hAnsi="Arial" w:eastAsia="宋体" w:cs="Arial"/>
                <w:i w:val="0"/>
                <w:color w:val="000000"/>
                <w:sz w:val="16"/>
                <w:szCs w:val="16"/>
                <w:u w:val="none"/>
              </w:rPr>
            </w:pPr>
            <w:r>
              <w:rPr>
                <w:rFonts w:hint="eastAsia" w:ascii="宋体" w:hAnsi="宋体" w:eastAsia="宋体" w:cs="宋体"/>
                <w:i w:val="0"/>
                <w:color w:val="000000"/>
                <w:kern w:val="0"/>
                <w:sz w:val="16"/>
                <w:szCs w:val="16"/>
                <w:u w:val="none"/>
                <w:lang w:val="en-US" w:eastAsia="zh-CN"/>
              </w:rPr>
              <w:t>金额</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科目编码</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科目名称</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default" w:ascii="Arial" w:hAnsi="Arial" w:eastAsia="宋体" w:cs="Arial"/>
                <w:i w:val="0"/>
                <w:color w:val="000000"/>
                <w:sz w:val="16"/>
                <w:szCs w:val="16"/>
                <w:u w:val="none"/>
              </w:rPr>
            </w:pPr>
            <w:r>
              <w:rPr>
                <w:rFonts w:hint="eastAsia" w:ascii="宋体" w:hAnsi="宋体" w:eastAsia="宋体" w:cs="宋体"/>
                <w:i w:val="0"/>
                <w:color w:val="000000"/>
                <w:kern w:val="0"/>
                <w:sz w:val="16"/>
                <w:szCs w:val="16"/>
                <w:u w:val="none"/>
                <w:lang w:val="en-US" w:eastAsia="zh-CN"/>
              </w:rPr>
              <w:t>金额</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科目编码</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科目名称</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center"/>
              <w:textAlignment w:val="center"/>
              <w:rPr>
                <w:rFonts w:hint="eastAsia" w:ascii="Arial" w:hAnsi="Arial" w:eastAsia="宋体" w:cs="Arial"/>
                <w:i w:val="0"/>
                <w:color w:val="000000"/>
                <w:sz w:val="16"/>
                <w:szCs w:val="16"/>
                <w:u w:val="none"/>
                <w:lang w:eastAsia="zh-CN"/>
              </w:rPr>
            </w:pPr>
            <w:r>
              <w:rPr>
                <w:rFonts w:hint="eastAsia" w:ascii="Arial" w:hAnsi="Arial" w:eastAsia="宋体" w:cs="Arial"/>
                <w:i w:val="0"/>
                <w:color w:val="000000"/>
                <w:sz w:val="16"/>
                <w:szCs w:val="16"/>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1,372,873.18</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商品和服务支出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146,723.43</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资本性支出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30101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基本工资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664,402.65</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办公费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15,520.60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31001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30102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津贴补贴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160,801.00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印刷费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31002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办公设备购置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30103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奖金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209,202.00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咨询费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31003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专用设备购置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30106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伙食补助费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手续费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基础设施建设</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30107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绩效工资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30205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水费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1,632.39</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大型修缮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30108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112,461.10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30206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11,973.89</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30109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职业年金缴费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13,708.55</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邮电费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6,136.25</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物资储备</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30110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52,163.72</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30208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取暖费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6,600.00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31009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土地补偿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30111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26,503.88</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30209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物业管理费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安置补助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30112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5,528.18</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30211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差旅费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20,093.30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31011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30313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住房公积金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128,102.10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30212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拆迁补偿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30314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医疗费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30213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维修(护)费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31013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公务用车购置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30199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30214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租赁费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31019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6,000.00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30215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会议费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31021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离休费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30216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培训费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退休费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6,000.00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30217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公务接待费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31099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退职（役）费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30218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专用材料费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30304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抚恤金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30224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被装购置费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30305</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生活补助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30225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专用燃料费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救济费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30226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劳务费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4,500.00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医疗费补助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30227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委托业务费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助学金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30228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工会经费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奖励金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30229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福利费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30310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 xml:space="preserve">  </w:t>
            </w:r>
            <w:r>
              <w:rPr>
                <w:rFonts w:hint="eastAsia" w:ascii="宋体" w:hAnsi="宋体" w:eastAsia="宋体" w:cs="宋体"/>
                <w:i w:val="0"/>
                <w:color w:val="000000"/>
                <w:sz w:val="16"/>
                <w:szCs w:val="16"/>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78,667.00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left"/>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wordWrap/>
              <w:adjustRightInd/>
              <w:snapToGrid/>
              <w:spacing w:line="240" w:lineRule="exact"/>
              <w:ind w:left="0" w:leftChars="0" w:right="0" w:firstLine="0" w:firstLineChars="0"/>
              <w:jc w:val="both"/>
              <w:textAlignment w:val="center"/>
              <w:outlineLvl w:val="9"/>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1,600.00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债务利息及费用支出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cs="宋体"/>
                <w:i w:val="0"/>
                <w:color w:val="000000"/>
                <w:kern w:val="2"/>
                <w:sz w:val="16"/>
                <w:szCs w:val="16"/>
                <w:u w:val="none"/>
                <w:lang w:val="en-US" w:eastAsia="zh-CN" w:bidi="ar-SA"/>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30701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国内债务付息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cs="宋体"/>
                <w:i w:val="0"/>
                <w:color w:val="000000"/>
                <w:kern w:val="2"/>
                <w:sz w:val="16"/>
                <w:szCs w:val="16"/>
                <w:u w:val="none"/>
                <w:lang w:val="en-US" w:eastAsia="zh-CN" w:bidi="ar-SA"/>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30702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 xml:space="preserve">  国外债务付息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cs="宋体"/>
                <w:i w:val="0"/>
                <w:color w:val="000000"/>
                <w:kern w:val="2"/>
                <w:sz w:val="16"/>
                <w:szCs w:val="16"/>
                <w:u w:val="none"/>
                <w:lang w:val="en-US" w:eastAsia="zh-CN" w:bidi="ar-SA"/>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cs="宋体"/>
                <w:i w:val="0"/>
                <w:color w:val="000000"/>
                <w:kern w:val="2"/>
                <w:sz w:val="16"/>
                <w:szCs w:val="16"/>
                <w:u w:val="none"/>
                <w:lang w:val="en-US" w:eastAsia="zh-CN" w:bidi="ar-SA"/>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000000"/>
                <w:kern w:val="2"/>
                <w:sz w:val="16"/>
                <w:szCs w:val="16"/>
                <w:u w:val="none"/>
                <w:lang w:val="en-US" w:eastAsia="zh-CN" w:bidi="ar-SA"/>
              </w:rPr>
            </w:pPr>
            <w:r>
              <w:rPr>
                <w:rFonts w:hint="eastAsia" w:ascii="宋体" w:hAnsi="宋体" w:cs="宋体"/>
                <w:i w:val="0"/>
                <w:color w:val="000000"/>
                <w:kern w:val="2"/>
                <w:sz w:val="16"/>
                <w:szCs w:val="16"/>
                <w:u w:val="none"/>
                <w:lang w:val="en-US" w:eastAsia="zh-CN" w:bidi="ar-SA"/>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6"/>
                <w:szCs w:val="16"/>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jc w:val="both"/>
              <w:rPr>
                <w:rFonts w:hint="default" w:ascii="Arial" w:hAnsi="Arial" w:eastAsia="宋体" w:cs="Arial"/>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38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rPr>
              <w:t>人员经费合计</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b/>
                <w:bCs/>
                <w:i w:val="0"/>
                <w:color w:val="000000"/>
                <w:kern w:val="0"/>
                <w:sz w:val="16"/>
                <w:szCs w:val="16"/>
                <w:u w:val="none"/>
                <w:lang w:val="en-US" w:eastAsia="zh-CN" w:bidi="ar"/>
              </w:rPr>
            </w:pPr>
            <w:r>
              <w:rPr>
                <w:rFonts w:hint="eastAsia" w:ascii="宋体" w:hAnsi="宋体" w:eastAsia="宋体" w:cs="宋体"/>
                <w:b/>
                <w:bCs/>
                <w:i w:val="0"/>
                <w:color w:val="000000"/>
                <w:kern w:val="0"/>
                <w:sz w:val="16"/>
                <w:szCs w:val="16"/>
                <w:u w:val="none"/>
                <w:lang w:val="en-US" w:eastAsia="zh-CN" w:bidi="ar"/>
              </w:rPr>
              <w:t>1,378,873.18</w:t>
            </w:r>
          </w:p>
        </w:tc>
        <w:tc>
          <w:tcPr>
            <w:tcW w:w="8280" w:type="dxa"/>
            <w:gridSpan w:val="7"/>
            <w:tcBorders>
              <w:top w:val="single" w:color="auto" w:sz="4" w:space="0"/>
              <w:left w:val="single" w:color="auto" w:sz="4" w:space="0"/>
              <w:bottom w:val="single" w:color="auto" w:sz="4" w:space="0"/>
              <w:right w:val="single" w:color="auto" w:sz="4" w:space="0"/>
            </w:tcBorders>
            <w:vAlign w:val="top"/>
          </w:tcPr>
          <w:p>
            <w:pPr>
              <w:widowControl/>
              <w:jc w:val="both"/>
              <w:textAlignment w:val="center"/>
              <w:rPr>
                <w:rFonts w:hint="eastAsia" w:ascii="宋体" w:hAnsi="宋体" w:eastAsia="宋体" w:cs="宋体"/>
                <w:b/>
                <w:bCs/>
                <w:i w:val="0"/>
                <w:color w:val="000000"/>
                <w:kern w:val="0"/>
                <w:sz w:val="16"/>
                <w:szCs w:val="16"/>
                <w:u w:val="none"/>
                <w:lang w:val="en-US" w:eastAsia="zh-CN" w:bidi="ar"/>
              </w:rPr>
            </w:pPr>
            <w:r>
              <w:rPr>
                <w:rFonts w:hint="eastAsia" w:ascii="宋体" w:hAnsi="宋体" w:eastAsia="宋体" w:cs="宋体"/>
                <w:b/>
                <w:bCs/>
                <w:i w:val="0"/>
                <w:color w:val="000000"/>
                <w:kern w:val="0"/>
                <w:sz w:val="16"/>
                <w:szCs w:val="16"/>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b/>
                <w:bCs/>
                <w:i w:val="0"/>
                <w:color w:val="000000"/>
                <w:kern w:val="0"/>
                <w:sz w:val="16"/>
                <w:szCs w:val="16"/>
                <w:u w:val="none"/>
                <w:lang w:val="en-US" w:eastAsia="zh-CN" w:bidi="ar"/>
              </w:rPr>
              <w:t>146,723.43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38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6"/>
                <w:szCs w:val="16"/>
                <w:u w:val="none"/>
                <w:lang w:val="en-US" w:eastAsia="zh-CN"/>
              </w:rPr>
            </w:pPr>
            <w:r>
              <w:rPr>
                <w:rFonts w:hint="eastAsia" w:ascii="宋体" w:hAnsi="宋体" w:eastAsia="宋体" w:cs="宋体"/>
                <w:i w:val="0"/>
                <w:color w:val="000000"/>
                <w:kern w:val="0"/>
                <w:sz w:val="16"/>
                <w:szCs w:val="16"/>
                <w:u w:val="none"/>
                <w:lang w:val="en-US" w:eastAsia="zh-CN"/>
              </w:rPr>
              <w:t>合       计</w:t>
            </w:r>
          </w:p>
        </w:tc>
        <w:tc>
          <w:tcPr>
            <w:tcW w:w="10492" w:type="dxa"/>
            <w:gridSpan w:val="9"/>
            <w:tcBorders>
              <w:top w:val="single" w:color="auto" w:sz="4" w:space="0"/>
              <w:left w:val="single" w:color="auto" w:sz="4" w:space="0"/>
              <w:bottom w:val="single" w:color="auto" w:sz="4" w:space="0"/>
              <w:right w:val="single" w:color="auto" w:sz="4" w:space="0"/>
            </w:tcBorders>
            <w:tcMar>
              <w:top w:w="12" w:type="dxa"/>
              <w:left w:w="12" w:type="dxa"/>
              <w:right w:w="12"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0"/>
                <w:szCs w:val="20"/>
                <w:u w:val="none"/>
                <w:lang w:val="en-US" w:eastAsia="zh-CN" w:bidi="ar-SA"/>
              </w:rPr>
            </w:pPr>
            <w:r>
              <w:rPr>
                <w:rFonts w:hint="default" w:ascii="宋体" w:hAnsi="宋体" w:eastAsia="宋体" w:cs="宋体"/>
                <w:b/>
                <w:bCs/>
                <w:i w:val="0"/>
                <w:color w:val="000000"/>
                <w:kern w:val="0"/>
                <w:sz w:val="16"/>
                <w:szCs w:val="16"/>
                <w:u w:val="none"/>
                <w:lang w:val="en-US" w:eastAsia="zh-CN" w:bidi="ar"/>
              </w:rPr>
              <w:t>1,525,596.61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tcMar>
              <w:top w:w="12" w:type="dxa"/>
              <w:left w:w="12" w:type="dxa"/>
              <w:right w:w="12" w:type="dxa"/>
            </w:tcMar>
            <w:vAlign w:val="top"/>
          </w:tcPr>
          <w:p>
            <w:pPr>
              <w:widowControl w:val="0"/>
              <w:wordWrap/>
              <w:adjustRightInd/>
              <w:snapToGrid/>
              <w:spacing w:line="400" w:lineRule="exact"/>
              <w:ind w:left="0" w:leftChars="0" w:right="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eastAsia="宋体" w:cs="Arial"/>
                <w:sz w:val="15"/>
                <w:szCs w:val="15"/>
                <w:lang w:eastAsia="zh-CN"/>
              </w:rPr>
            </w:pPr>
          </w:p>
        </w:tc>
      </w:tr>
    </w:tbl>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rPr>
          <w:rFonts w:hint="eastAsia" w:ascii="Calibri" w:hAnsi="Calibri" w:eastAsia="宋体" w:cs="黑体"/>
          <w:kern w:val="2"/>
          <w:sz w:val="21"/>
          <w:szCs w:val="24"/>
          <w:lang w:val="en-US" w:eastAsia="zh-CN" w:bidi="ar-SA"/>
        </w:rPr>
      </w:pPr>
    </w:p>
    <w:p>
      <w:pPr>
        <w:tabs>
          <w:tab w:val="left" w:pos="1237"/>
        </w:tabs>
        <w:jc w:val="left"/>
        <w:rPr>
          <w:rFonts w:hint="eastAsia" w:cs="黑体"/>
          <w:kern w:val="2"/>
          <w:sz w:val="21"/>
          <w:szCs w:val="24"/>
          <w:lang w:val="en-US" w:eastAsia="zh-CN" w:bidi="ar-SA"/>
        </w:rPr>
      </w:pPr>
      <w:r>
        <w:rPr>
          <w:rFonts w:hint="eastAsia" w:cs="黑体"/>
          <w:kern w:val="2"/>
          <w:sz w:val="21"/>
          <w:szCs w:val="24"/>
          <w:lang w:val="en-US" w:eastAsia="zh-CN" w:bidi="ar-SA"/>
        </w:rPr>
        <w:tab/>
      </w:r>
      <w:r>
        <w:rPr>
          <w:rFonts w:hint="eastAsia" w:cs="黑体"/>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黑体"/>
          <w:kern w:val="2"/>
          <w:sz w:val="21"/>
          <w:szCs w:val="24"/>
          <w:lang w:val="en-US" w:eastAsia="zh-CN" w:bidi="ar-SA"/>
        </w:rPr>
      </w:pPr>
    </w:p>
    <w:tbl>
      <w:tblPr>
        <w:tblStyle w:val="4"/>
        <w:tblW w:w="149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3"/>
        <w:gridCol w:w="105"/>
        <w:gridCol w:w="975"/>
        <w:gridCol w:w="163"/>
        <w:gridCol w:w="687"/>
        <w:gridCol w:w="457"/>
        <w:gridCol w:w="1146"/>
        <w:gridCol w:w="1190"/>
        <w:gridCol w:w="1157"/>
        <w:gridCol w:w="1168"/>
        <w:gridCol w:w="92"/>
        <w:gridCol w:w="893"/>
        <w:gridCol w:w="156"/>
        <w:gridCol w:w="969"/>
        <w:gridCol w:w="1211"/>
        <w:gridCol w:w="280"/>
        <w:gridCol w:w="1134"/>
        <w:gridCol w:w="484"/>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14963" w:type="dxa"/>
            <w:gridSpan w:val="19"/>
            <w:tcBorders>
              <w:top w:val="nil"/>
              <w:left w:val="nil"/>
              <w:bottom w:val="nil"/>
              <w:right w:val="nil"/>
            </w:tcBorders>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pStyle w:val="2"/>
              <w:rPr>
                <w:rFonts w:hint="eastAsia" w:ascii="宋体" w:hAnsi="宋体" w:cs="Arial"/>
                <w:b/>
                <w:bCs/>
                <w:color w:val="000000"/>
                <w:kern w:val="0"/>
                <w:sz w:val="36"/>
                <w:szCs w:val="36"/>
              </w:rPr>
            </w:pPr>
          </w:p>
          <w:p>
            <w:pPr>
              <w:rPr>
                <w:rFonts w:hint="eastAsia" w:ascii="宋体" w:hAnsi="宋体" w:cs="Arial"/>
                <w:b/>
                <w:bCs/>
                <w:color w:val="000000"/>
                <w:kern w:val="0"/>
                <w:sz w:val="36"/>
                <w:szCs w:val="36"/>
              </w:rPr>
            </w:pPr>
          </w:p>
          <w:p>
            <w:pPr>
              <w:pStyle w:val="2"/>
              <w:rPr>
                <w:rFonts w:hint="eastAsia" w:ascii="宋体" w:hAnsi="宋体" w:cs="Arial"/>
                <w:b/>
                <w:bCs/>
                <w:color w:val="000000"/>
                <w:kern w:val="0"/>
                <w:sz w:val="36"/>
                <w:szCs w:val="36"/>
              </w:rPr>
            </w:pPr>
          </w:p>
          <w:p>
            <w:pPr>
              <w:rPr>
                <w:rFonts w:hint="eastAsia" w:ascii="宋体" w:hAnsi="宋体" w:cs="Arial"/>
                <w:b/>
                <w:bCs/>
                <w:color w:val="000000"/>
                <w:kern w:val="0"/>
                <w:sz w:val="36"/>
                <w:szCs w:val="36"/>
              </w:rPr>
            </w:pPr>
          </w:p>
          <w:p>
            <w:pPr>
              <w:pStyle w:val="2"/>
              <w:rPr>
                <w:rFonts w:hint="eastAsia" w:ascii="宋体" w:hAnsi="宋体" w:cs="Arial"/>
                <w:b/>
                <w:bCs/>
                <w:color w:val="000000"/>
                <w:kern w:val="0"/>
                <w:sz w:val="36"/>
                <w:szCs w:val="36"/>
              </w:rPr>
            </w:pPr>
          </w:p>
          <w:p>
            <w:pPr>
              <w:rPr>
                <w:rFonts w:hint="eastAsia" w:ascii="宋体" w:hAnsi="宋体" w:cs="Arial"/>
                <w:b/>
                <w:bCs/>
                <w:color w:val="000000"/>
                <w:kern w:val="0"/>
                <w:sz w:val="36"/>
                <w:szCs w:val="36"/>
              </w:rPr>
            </w:pPr>
          </w:p>
          <w:p>
            <w:pPr>
              <w:pStyle w:val="2"/>
              <w:rPr>
                <w:rFonts w:hint="eastAsia" w:ascii="宋体" w:hAnsi="宋体" w:cs="Arial"/>
                <w:b/>
                <w:bCs/>
                <w:color w:val="000000"/>
                <w:kern w:val="0"/>
                <w:sz w:val="36"/>
                <w:szCs w:val="36"/>
              </w:rPr>
            </w:pPr>
          </w:p>
          <w:p>
            <w:pPr>
              <w:rPr>
                <w:rFonts w:hint="eastAsia"/>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9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6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856" w:type="dxa"/>
            <w:gridSpan w:val="8"/>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中卫市沙坡头区农业农村局（本级）</w:t>
            </w:r>
          </w:p>
        </w:tc>
        <w:tc>
          <w:tcPr>
            <w:tcW w:w="1157" w:type="dxa"/>
            <w:tcBorders>
              <w:top w:val="nil"/>
              <w:left w:val="nil"/>
              <w:bottom w:val="nil"/>
              <w:right w:val="nil"/>
            </w:tcBorders>
            <w:vAlign w:val="bottom"/>
          </w:tcPr>
          <w:p>
            <w:pPr>
              <w:widowControl/>
              <w:jc w:val="center"/>
              <w:rPr>
                <w:rFonts w:ascii="宋体" w:hAnsi="宋体" w:cs="Arial"/>
                <w:color w:val="000000"/>
                <w:kern w:val="0"/>
                <w:sz w:val="24"/>
              </w:rPr>
            </w:pPr>
          </w:p>
        </w:tc>
        <w:tc>
          <w:tcPr>
            <w:tcW w:w="126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9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9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6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013"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年度预算数</w:t>
            </w:r>
          </w:p>
        </w:tc>
        <w:tc>
          <w:tcPr>
            <w:tcW w:w="7950"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23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7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3643"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5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6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8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375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204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23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07"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4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8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21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414"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公务用车</w:t>
            </w:r>
          </w:p>
          <w:p>
            <w:pPr>
              <w:widowControl/>
              <w:jc w:val="center"/>
              <w:rPr>
                <w:rFonts w:ascii="宋体" w:hAnsi="宋体" w:cs="Arial"/>
                <w:color w:val="000000"/>
                <w:kern w:val="0"/>
                <w:sz w:val="22"/>
                <w:szCs w:val="22"/>
              </w:rPr>
            </w:pPr>
            <w:r>
              <w:rPr>
                <w:rFonts w:hint="eastAsia" w:ascii="宋体" w:hAnsi="宋体" w:cs="Arial"/>
                <w:color w:val="000000"/>
                <w:kern w:val="0"/>
                <w:sz w:val="22"/>
                <w:szCs w:val="22"/>
              </w:rPr>
              <w:t>运行费</w:t>
            </w:r>
          </w:p>
        </w:tc>
        <w:tc>
          <w:tcPr>
            <w:tcW w:w="204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238"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7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07"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4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5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6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85"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25"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1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41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04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1238" w:type="dxa"/>
            <w:gridSpan w:val="2"/>
            <w:tcBorders>
              <w:top w:val="nil"/>
              <w:left w:val="single" w:color="auto" w:sz="4" w:space="0"/>
              <w:bottom w:val="single" w:color="auto" w:sz="4" w:space="0"/>
              <w:right w:val="single" w:color="auto" w:sz="4" w:space="0"/>
            </w:tcBorders>
            <w:vAlign w:val="center"/>
          </w:tcPr>
          <w:p>
            <w:pPr>
              <w:widowControl/>
              <w:jc w:val="right"/>
              <w:rPr>
                <w:rFonts w:hint="default" w:ascii="宋体" w:hAnsi="宋体" w:cs="Arial"/>
                <w:color w:val="000000"/>
                <w:kern w:val="0"/>
                <w:sz w:val="20"/>
                <w:szCs w:val="20"/>
                <w:lang w:val="en-US"/>
              </w:rPr>
            </w:pPr>
            <w:r>
              <w:rPr>
                <w:rFonts w:hint="eastAsia" w:ascii="宋体" w:hAnsi="宋体" w:cs="宋体"/>
                <w:i w:val="0"/>
                <w:color w:val="000000"/>
                <w:kern w:val="0"/>
                <w:sz w:val="20"/>
                <w:szCs w:val="20"/>
                <w:u w:val="none"/>
                <w:lang w:val="en-US" w:eastAsia="zh-CN" w:bidi="ar"/>
              </w:rPr>
              <w:t>0.00</w:t>
            </w:r>
          </w:p>
        </w:tc>
        <w:tc>
          <w:tcPr>
            <w:tcW w:w="975" w:type="dxa"/>
            <w:tcBorders>
              <w:top w:val="nil"/>
              <w:left w:val="nil"/>
              <w:bottom w:val="single" w:color="auto" w:sz="4" w:space="0"/>
              <w:right w:val="single" w:color="auto" w:sz="4" w:space="0"/>
            </w:tcBorders>
            <w:vAlign w:val="center"/>
          </w:tcPr>
          <w:p>
            <w:pPr>
              <w:widowControl/>
              <w:jc w:val="righ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1307" w:type="dxa"/>
            <w:gridSpan w:val="3"/>
            <w:tcBorders>
              <w:top w:val="nil"/>
              <w:left w:val="nil"/>
              <w:bottom w:val="single" w:color="auto" w:sz="4" w:space="0"/>
              <w:right w:val="single" w:color="auto" w:sz="4" w:space="0"/>
            </w:tcBorders>
            <w:vAlign w:val="center"/>
          </w:tcPr>
          <w:p>
            <w:pPr>
              <w:widowControl/>
              <w:jc w:val="right"/>
              <w:rPr>
                <w:rFonts w:hint="default" w:ascii="宋体" w:hAnsi="宋体" w:cs="Arial"/>
                <w:color w:val="000000"/>
                <w:kern w:val="0"/>
                <w:sz w:val="20"/>
                <w:szCs w:val="20"/>
                <w:lang w:val="en-US"/>
              </w:rPr>
            </w:pPr>
            <w:r>
              <w:rPr>
                <w:rFonts w:hint="eastAsia" w:ascii="宋体" w:hAnsi="宋体" w:cs="宋体"/>
                <w:i w:val="0"/>
                <w:color w:val="000000"/>
                <w:kern w:val="0"/>
                <w:sz w:val="20"/>
                <w:szCs w:val="20"/>
                <w:u w:val="none"/>
                <w:lang w:val="en-US" w:eastAsia="zh-CN" w:bidi="ar"/>
              </w:rPr>
              <w:t>0.00</w:t>
            </w:r>
          </w:p>
        </w:tc>
        <w:tc>
          <w:tcPr>
            <w:tcW w:w="1146" w:type="dxa"/>
            <w:tcBorders>
              <w:top w:val="nil"/>
              <w:left w:val="nil"/>
              <w:bottom w:val="single" w:color="auto" w:sz="4" w:space="0"/>
              <w:right w:val="single" w:color="auto" w:sz="4" w:space="0"/>
            </w:tcBorders>
            <w:vAlign w:val="center"/>
          </w:tcPr>
          <w:p>
            <w:pPr>
              <w:widowControl/>
              <w:jc w:val="righ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1190" w:type="dxa"/>
            <w:tcBorders>
              <w:top w:val="nil"/>
              <w:left w:val="nil"/>
              <w:bottom w:val="single" w:color="auto" w:sz="4" w:space="0"/>
              <w:right w:val="single" w:color="auto" w:sz="4" w:space="0"/>
            </w:tcBorders>
            <w:vAlign w:val="center"/>
          </w:tcPr>
          <w:p>
            <w:pPr>
              <w:widowControl/>
              <w:jc w:val="right"/>
              <w:rPr>
                <w:rFonts w:hint="default" w:ascii="宋体" w:hAnsi="宋体" w:cs="Arial"/>
                <w:color w:val="000000"/>
                <w:kern w:val="0"/>
                <w:sz w:val="20"/>
                <w:szCs w:val="20"/>
                <w:lang w:val="en-US"/>
              </w:rPr>
            </w:pPr>
            <w:r>
              <w:rPr>
                <w:rFonts w:hint="eastAsia" w:ascii="宋体" w:hAnsi="宋体" w:cs="宋体"/>
                <w:i w:val="0"/>
                <w:color w:val="000000"/>
                <w:kern w:val="0"/>
                <w:sz w:val="20"/>
                <w:szCs w:val="20"/>
                <w:u w:val="none"/>
                <w:lang w:val="en-US" w:eastAsia="zh-CN" w:bidi="ar"/>
              </w:rPr>
              <w:t>0.00</w:t>
            </w:r>
          </w:p>
        </w:tc>
        <w:tc>
          <w:tcPr>
            <w:tcW w:w="1157" w:type="dxa"/>
            <w:tcBorders>
              <w:top w:val="nil"/>
              <w:left w:val="nil"/>
              <w:bottom w:val="single" w:color="auto" w:sz="4" w:space="0"/>
              <w:right w:val="single" w:color="auto" w:sz="4" w:space="0"/>
            </w:tcBorders>
            <w:vAlign w:val="center"/>
          </w:tcPr>
          <w:p>
            <w:pPr>
              <w:widowControl/>
              <w:jc w:val="right"/>
              <w:rPr>
                <w:rFonts w:hint="default" w:ascii="宋体" w:hAnsi="宋体" w:cs="Arial"/>
                <w:color w:val="000000"/>
                <w:kern w:val="0"/>
                <w:sz w:val="20"/>
                <w:szCs w:val="20"/>
                <w:lang w:val="en-US"/>
              </w:rPr>
            </w:pPr>
            <w:r>
              <w:rPr>
                <w:rFonts w:hint="eastAsia" w:ascii="宋体" w:hAnsi="宋体" w:cs="宋体"/>
                <w:i w:val="0"/>
                <w:color w:val="000000"/>
                <w:kern w:val="0"/>
                <w:sz w:val="20"/>
                <w:szCs w:val="20"/>
                <w:u w:val="none"/>
                <w:lang w:val="en-US" w:eastAsia="zh-CN" w:bidi="ar"/>
              </w:rPr>
              <w:t>0.00</w:t>
            </w:r>
          </w:p>
        </w:tc>
        <w:tc>
          <w:tcPr>
            <w:tcW w:w="1168" w:type="dxa"/>
            <w:tcBorders>
              <w:top w:val="nil"/>
              <w:left w:val="nil"/>
              <w:bottom w:val="single" w:color="auto" w:sz="4" w:space="0"/>
              <w:right w:val="single" w:color="auto" w:sz="4" w:space="0"/>
            </w:tcBorders>
            <w:vAlign w:val="center"/>
          </w:tcPr>
          <w:p>
            <w:pPr>
              <w:widowControl/>
              <w:jc w:val="right"/>
              <w:rPr>
                <w:rFonts w:hint="default" w:ascii="宋体" w:hAnsi="宋体"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985" w:type="dxa"/>
            <w:gridSpan w:val="2"/>
            <w:tcBorders>
              <w:top w:val="nil"/>
              <w:left w:val="nil"/>
              <w:bottom w:val="single" w:color="auto" w:sz="4" w:space="0"/>
              <w:right w:val="single" w:color="auto" w:sz="4" w:space="0"/>
            </w:tcBorders>
            <w:vAlign w:val="center"/>
          </w:tcPr>
          <w:p>
            <w:pPr>
              <w:widowControl/>
              <w:jc w:val="right"/>
              <w:rPr>
                <w:rFonts w:hint="default" w:ascii="Arial" w:hAnsi="Arial" w:eastAsia="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1125" w:type="dxa"/>
            <w:gridSpan w:val="2"/>
            <w:tcBorders>
              <w:top w:val="nil"/>
              <w:left w:val="nil"/>
              <w:bottom w:val="single" w:color="auto" w:sz="4" w:space="0"/>
              <w:right w:val="single" w:color="auto" w:sz="4" w:space="0"/>
            </w:tcBorders>
            <w:vAlign w:val="center"/>
          </w:tcPr>
          <w:p>
            <w:pPr>
              <w:widowControl/>
              <w:jc w:val="right"/>
              <w:rPr>
                <w:rFonts w:hint="default" w:ascii="Arial" w:hAnsi="Arial" w:eastAsia="宋体" w:cs="Arial"/>
                <w:color w:val="000000"/>
                <w:kern w:val="0"/>
                <w:sz w:val="20"/>
                <w:szCs w:val="20"/>
                <w:lang w:val="en-US" w:eastAsia="zh-CN" w:bidi="ar-SA"/>
              </w:rPr>
            </w:pPr>
            <w:r>
              <w:rPr>
                <w:rFonts w:hint="eastAsia" w:ascii="宋体" w:hAnsi="宋体" w:cs="宋体"/>
                <w:i w:val="0"/>
                <w:color w:val="000000"/>
                <w:kern w:val="0"/>
                <w:sz w:val="20"/>
                <w:szCs w:val="20"/>
                <w:u w:val="none"/>
                <w:lang w:val="en-US" w:eastAsia="zh-CN" w:bidi="ar"/>
              </w:rPr>
              <w:t>0.00</w:t>
            </w:r>
          </w:p>
        </w:tc>
        <w:tc>
          <w:tcPr>
            <w:tcW w:w="1211" w:type="dxa"/>
            <w:tcBorders>
              <w:top w:val="nil"/>
              <w:left w:val="nil"/>
              <w:bottom w:val="single" w:color="auto" w:sz="4" w:space="0"/>
              <w:right w:val="single" w:color="auto" w:sz="4" w:space="0"/>
            </w:tcBorders>
            <w:vAlign w:val="center"/>
          </w:tcPr>
          <w:p>
            <w:pPr>
              <w:widowControl/>
              <w:jc w:val="right"/>
              <w:rPr>
                <w:rFonts w:hint="default"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1414" w:type="dxa"/>
            <w:gridSpan w:val="2"/>
            <w:tcBorders>
              <w:top w:val="nil"/>
              <w:left w:val="nil"/>
              <w:bottom w:val="single" w:color="auto" w:sz="4" w:space="0"/>
              <w:right w:val="single" w:color="auto" w:sz="4" w:space="0"/>
            </w:tcBorders>
            <w:vAlign w:val="center"/>
          </w:tcPr>
          <w:p>
            <w:pPr>
              <w:widowControl/>
              <w:jc w:val="right"/>
              <w:rPr>
                <w:rFonts w:hint="default"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c>
          <w:tcPr>
            <w:tcW w:w="2047" w:type="dxa"/>
            <w:gridSpan w:val="2"/>
            <w:tcBorders>
              <w:top w:val="nil"/>
              <w:left w:val="nil"/>
              <w:bottom w:val="single" w:color="auto" w:sz="4" w:space="0"/>
              <w:right w:val="single" w:color="auto" w:sz="4" w:space="0"/>
            </w:tcBorders>
            <w:vAlign w:val="center"/>
          </w:tcPr>
          <w:p>
            <w:pPr>
              <w:widowControl/>
              <w:jc w:val="right"/>
              <w:rPr>
                <w:rFonts w:hint="default" w:ascii="宋体" w:hAnsi="宋体" w:cs="Arial"/>
                <w:color w:val="000000"/>
                <w:kern w:val="0"/>
                <w:sz w:val="20"/>
                <w:szCs w:val="20"/>
                <w:lang w:val="en-US" w:eastAsia="zh-CN"/>
              </w:rPr>
            </w:pPr>
            <w:r>
              <w:rPr>
                <w:rFonts w:hint="eastAsia" w:ascii="宋体" w:hAnsi="宋体" w:cs="Arial"/>
                <w:color w:val="000000"/>
                <w:kern w:val="0"/>
                <w:sz w:val="20"/>
                <w:szCs w:val="20"/>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4963" w:type="dxa"/>
            <w:gridSpan w:val="19"/>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rPr>
      </w:pPr>
    </w:p>
    <w:tbl>
      <w:tblPr>
        <w:tblStyle w:val="4"/>
        <w:tblW w:w="12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1"/>
                <w:szCs w:val="21"/>
                <w:lang w:eastAsia="zh-CN"/>
              </w:rPr>
              <w:t>中卫市沙坡头区农业农村局</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0.00</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720" w:num="1"/>
          <w:rtlGutter w:val="0"/>
          <w:docGrid w:type="linesAndChars" w:linePitch="321" w:charSpace="0"/>
        </w:sectPr>
      </w:pPr>
    </w:p>
    <w:p>
      <w:pPr>
        <w:wordWrap/>
        <w:snapToGrid/>
        <w:spacing w:beforeLines="50" w:line="560" w:lineRule="exact"/>
        <w:ind w:right="0" w:firstLine="176" w:firstLineChars="49"/>
        <w:jc w:val="center"/>
        <w:textAlignment w:val="auto"/>
        <w:outlineLvl w:val="1"/>
        <w:rPr>
          <w:rFonts w:hint="default" w:ascii="Times New Roman" w:hAnsi="Times New Roman" w:eastAsia="黑体" w:cs="Times New Roman"/>
          <w:b w:val="0"/>
          <w:kern w:val="0"/>
          <w:sz w:val="36"/>
          <w:szCs w:val="36"/>
        </w:rPr>
      </w:pPr>
      <w:r>
        <w:rPr>
          <w:rFonts w:hint="default" w:ascii="Times New Roman" w:hAnsi="Times New Roman" w:eastAsia="黑体" w:cs="Times New Roman"/>
          <w:b w:val="0"/>
          <w:kern w:val="0"/>
          <w:sz w:val="36"/>
          <w:szCs w:val="36"/>
        </w:rPr>
        <w:t>第三部分 201</w:t>
      </w:r>
      <w:r>
        <w:rPr>
          <w:rFonts w:hint="default" w:ascii="Times New Roman" w:hAnsi="Times New Roman" w:eastAsia="黑体" w:cs="Times New Roman"/>
          <w:b w:val="0"/>
          <w:kern w:val="0"/>
          <w:sz w:val="36"/>
          <w:szCs w:val="36"/>
          <w:lang w:val="en-US" w:eastAsia="zh-CN"/>
        </w:rPr>
        <w:t>9</w:t>
      </w:r>
      <w:r>
        <w:rPr>
          <w:rFonts w:hint="default" w:ascii="Times New Roman" w:hAnsi="Times New Roman" w:eastAsia="黑体" w:cs="Times New Roman"/>
          <w:b w:val="0"/>
          <w:kern w:val="0"/>
          <w:sz w:val="36"/>
          <w:szCs w:val="36"/>
        </w:rPr>
        <w:t>年度部门决算情况说明</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1"/>
        <w:rPr>
          <w:rFonts w:hint="default" w:ascii="Times New Roman" w:hAnsi="Times New Roman" w:eastAsia="黑体" w:cs="Times New Roman"/>
          <w:b w:val="0"/>
          <w:kern w:val="0"/>
          <w:sz w:val="32"/>
          <w:szCs w:val="32"/>
        </w:rPr>
      </w:pPr>
      <w:r>
        <w:rPr>
          <w:rFonts w:hint="default" w:ascii="Times New Roman" w:hAnsi="Times New Roman" w:eastAsia="楷体_GB2312" w:cs="Times New Roman"/>
          <w:b/>
          <w:bCs/>
          <w:kern w:val="0"/>
          <w:sz w:val="32"/>
          <w:szCs w:val="32"/>
        </w:rPr>
        <w:t>一、收入支出决算总体情况说明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b w:val="0"/>
          <w:bCs w:val="0"/>
          <w:color w:val="0000FF"/>
          <w:kern w:val="0"/>
          <w:sz w:val="32"/>
          <w:szCs w:val="32"/>
          <w:lang w:val="en-US" w:eastAsia="zh-CN"/>
        </w:rPr>
      </w:pPr>
      <w:r>
        <w:rPr>
          <w:rFonts w:hint="default" w:ascii="Times New Roman" w:hAnsi="Times New Roman" w:eastAsia="仿宋_GB2312" w:cs="Times New Roman"/>
          <w:kern w:val="0"/>
          <w:sz w:val="32"/>
          <w:szCs w:val="32"/>
          <w:lang w:eastAsia="zh-CN"/>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lang w:eastAsia="zh-CN"/>
        </w:rPr>
        <w:t>年度收入总计466,692,585.19元，支出总计466,692,585.19元。与2018年度相比，收、支总计各增加216,073,583.74 元，增长</w:t>
      </w:r>
      <w:r>
        <w:rPr>
          <w:rFonts w:hint="eastAsia" w:ascii="Times New Roman" w:hAnsi="Times New Roman" w:eastAsia="仿宋_GB2312" w:cs="Times New Roman"/>
          <w:kern w:val="0"/>
          <w:sz w:val="32"/>
          <w:szCs w:val="32"/>
          <w:lang w:val="en-US" w:eastAsia="zh-CN"/>
        </w:rPr>
        <w:t>86.22</w:t>
      </w:r>
      <w:r>
        <w:rPr>
          <w:rFonts w:hint="default" w:ascii="Times New Roman" w:hAnsi="Times New Roman" w:eastAsia="仿宋_GB2312" w:cs="Times New Roman"/>
          <w:kern w:val="0"/>
          <w:sz w:val="32"/>
          <w:szCs w:val="32"/>
          <w:lang w:eastAsia="zh-CN"/>
        </w:rPr>
        <w:t>%，主要原因</w:t>
      </w:r>
      <w:r>
        <w:rPr>
          <w:rFonts w:hint="eastAsia" w:ascii="Times New Roman" w:hAnsi="Times New Roman" w:eastAsia="仿宋_GB2312" w:cs="Times New Roman"/>
          <w:kern w:val="0"/>
          <w:sz w:val="32"/>
          <w:szCs w:val="32"/>
          <w:lang w:eastAsia="zh-CN"/>
        </w:rPr>
        <w:t>一</w:t>
      </w:r>
      <w:r>
        <w:rPr>
          <w:rFonts w:hint="default" w:ascii="Times New Roman" w:hAnsi="Times New Roman" w:eastAsia="仿宋_GB2312" w:cs="Times New Roman"/>
          <w:kern w:val="0"/>
          <w:sz w:val="32"/>
          <w:szCs w:val="32"/>
          <w:lang w:eastAsia="zh-CN"/>
        </w:rPr>
        <w:t>是国家对农田水利、乡村振兴、农村人居环境整治及农业项目资金投入量增大</w:t>
      </w:r>
      <w:r>
        <w:rPr>
          <w:rFonts w:hint="eastAsia" w:ascii="Times New Roman" w:hAnsi="Times New Roman" w:eastAsia="仿宋_GB2312" w:cs="Times New Roman"/>
          <w:kern w:val="0"/>
          <w:sz w:val="32"/>
          <w:szCs w:val="32"/>
          <w:lang w:eastAsia="zh-CN"/>
        </w:rPr>
        <w:t>；二是</w:t>
      </w:r>
      <w:r>
        <w:rPr>
          <w:rFonts w:hint="eastAsia" w:ascii="Times New Roman" w:hAnsi="Times New Roman" w:eastAsia="仿宋_GB2312" w:cs="Times New Roman"/>
          <w:kern w:val="0"/>
          <w:sz w:val="32"/>
          <w:szCs w:val="32"/>
          <w:lang w:val="en-US" w:eastAsia="zh-CN"/>
        </w:rPr>
        <w:t>涉农到户补贴资金原由</w:t>
      </w:r>
      <w:r>
        <w:rPr>
          <w:rFonts w:hint="eastAsia" w:ascii="Times New Roman" w:hAnsi="Times New Roman" w:eastAsia="仿宋_GB2312" w:cs="Times New Roman"/>
          <w:b w:val="0"/>
          <w:kern w:val="0"/>
          <w:sz w:val="32"/>
          <w:szCs w:val="32"/>
          <w:lang w:eastAsia="zh-CN"/>
        </w:rPr>
        <w:t>区财政局</w:t>
      </w:r>
      <w:r>
        <w:rPr>
          <w:rFonts w:hint="eastAsia" w:ascii="Times New Roman" w:hAnsi="Times New Roman" w:eastAsia="仿宋_GB2312" w:cs="Times New Roman"/>
          <w:kern w:val="0"/>
          <w:sz w:val="32"/>
          <w:szCs w:val="32"/>
          <w:lang w:val="en-US" w:eastAsia="zh-CN"/>
        </w:rPr>
        <w:t>通过一卡通发放，2019年由我局通过一卡通支付，收入、支出均增加。</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二、收入决算情况说明</w:t>
      </w:r>
    </w:p>
    <w:p>
      <w:pPr>
        <w:pStyle w:val="7"/>
        <w:wordWrap/>
        <w:snapToGrid/>
        <w:spacing w:line="560" w:lineRule="exact"/>
        <w:ind w:right="0" w:firstLine="745" w:firstLineChars="23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color w:val="auto"/>
          <w:sz w:val="32"/>
          <w:szCs w:val="32"/>
        </w:rPr>
        <w:t>收入合计</w:t>
      </w:r>
      <w:r>
        <w:rPr>
          <w:rFonts w:hint="eastAsia" w:ascii="Times New Roman" w:hAnsi="Times New Roman" w:eastAsia="仿宋_GB2312" w:cs="Times New Roman"/>
          <w:color w:val="auto"/>
          <w:kern w:val="0"/>
          <w:sz w:val="32"/>
          <w:szCs w:val="32"/>
          <w:lang w:val="en-US" w:eastAsia="zh-CN" w:bidi="ar-SA"/>
        </w:rPr>
        <w:t>443,797,726.82</w:t>
      </w:r>
      <w:r>
        <w:rPr>
          <w:rFonts w:hint="default" w:ascii="Times New Roman" w:hAnsi="Times New Roman" w:eastAsia="仿宋_GB2312" w:cs="Times New Roman"/>
          <w:color w:val="auto"/>
          <w:sz w:val="32"/>
          <w:szCs w:val="32"/>
        </w:rPr>
        <w:t xml:space="preserve">元，其中：财政拨款收入 </w:t>
      </w:r>
      <w:r>
        <w:rPr>
          <w:rFonts w:hint="eastAsia" w:ascii="Times New Roman" w:hAnsi="Times New Roman" w:eastAsia="仿宋_GB2312" w:cs="Times New Roman"/>
          <w:color w:val="auto"/>
          <w:kern w:val="0"/>
          <w:sz w:val="32"/>
          <w:szCs w:val="32"/>
          <w:lang w:val="en-US" w:eastAsia="zh-CN" w:bidi="ar-SA"/>
        </w:rPr>
        <w:t>366,378,308.61</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82.56</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上级补助</w:t>
      </w:r>
      <w:r>
        <w:rPr>
          <w:rFonts w:hint="default" w:ascii="Times New Roman" w:hAnsi="Times New Roman" w:eastAsia="仿宋_GB2312" w:cs="Times New Roman"/>
          <w:color w:val="auto"/>
          <w:sz w:val="32"/>
          <w:szCs w:val="32"/>
        </w:rPr>
        <w:t>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%；事业收入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%；经营收入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附属单位上缴</w:t>
      </w:r>
      <w:r>
        <w:rPr>
          <w:rFonts w:hint="default" w:ascii="Times New Roman" w:hAnsi="Times New Roman" w:eastAsia="仿宋_GB2312" w:cs="Times New Roman"/>
          <w:color w:val="auto"/>
          <w:sz w:val="32"/>
          <w:szCs w:val="32"/>
        </w:rPr>
        <w:t>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%；其他收入77,419,418.21元，占</w:t>
      </w:r>
      <w:r>
        <w:rPr>
          <w:rFonts w:hint="eastAsia" w:ascii="Times New Roman" w:hAnsi="Times New Roman" w:eastAsia="仿宋_GB2312" w:cs="Times New Roman"/>
          <w:color w:val="auto"/>
          <w:sz w:val="32"/>
          <w:szCs w:val="32"/>
          <w:lang w:val="en-US" w:eastAsia="zh-CN"/>
        </w:rPr>
        <w:t>17.44</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三、支出决算情况说明</w:t>
      </w:r>
    </w:p>
    <w:p>
      <w:pPr>
        <w:wordWrap/>
        <w:snapToGrid/>
        <w:spacing w:line="560" w:lineRule="exact"/>
        <w:ind w:right="0" w:firstLine="614" w:firstLineChars="192"/>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年度支出合计</w:t>
      </w:r>
      <w:r>
        <w:rPr>
          <w:rFonts w:hint="eastAsia" w:ascii="Times New Roman" w:hAnsi="Times New Roman" w:eastAsia="仿宋_GB2312" w:cs="Times New Roman"/>
          <w:color w:val="auto"/>
          <w:kern w:val="0"/>
          <w:sz w:val="32"/>
          <w:szCs w:val="32"/>
          <w:lang w:val="en-US" w:eastAsia="zh-CN" w:bidi="ar-SA"/>
        </w:rPr>
        <w:t>313,481,844.95</w:t>
      </w:r>
      <w:r>
        <w:rPr>
          <w:rFonts w:hint="default" w:ascii="Times New Roman" w:hAnsi="Times New Roman" w:eastAsia="仿宋_GB2312" w:cs="Times New Roman"/>
          <w:kern w:val="0"/>
          <w:sz w:val="32"/>
          <w:szCs w:val="32"/>
        </w:rPr>
        <w:t>元，其中：基本支出</w:t>
      </w:r>
      <w:r>
        <w:rPr>
          <w:rFonts w:hint="eastAsia" w:ascii="Times New Roman" w:hAnsi="Times New Roman" w:eastAsia="仿宋_GB2312" w:cs="Times New Roman"/>
          <w:color w:val="auto"/>
          <w:kern w:val="0"/>
          <w:sz w:val="32"/>
          <w:szCs w:val="32"/>
          <w:lang w:val="en-US" w:eastAsia="zh-CN" w:bidi="ar-SA"/>
        </w:rPr>
        <w:t>1,546,562.86</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0.49</w:t>
      </w:r>
      <w:r>
        <w:rPr>
          <w:rFonts w:hint="default" w:ascii="Times New Roman" w:hAnsi="Times New Roman" w:eastAsia="仿宋_GB2312" w:cs="Times New Roman"/>
          <w:kern w:val="0"/>
          <w:sz w:val="32"/>
          <w:szCs w:val="32"/>
        </w:rPr>
        <w:t>%；项目支出</w:t>
      </w:r>
      <w:r>
        <w:rPr>
          <w:rFonts w:hint="eastAsia" w:ascii="Times New Roman" w:hAnsi="Times New Roman" w:eastAsia="仿宋_GB2312" w:cs="Times New Roman"/>
          <w:color w:val="auto"/>
          <w:kern w:val="0"/>
          <w:sz w:val="32"/>
          <w:szCs w:val="32"/>
          <w:lang w:val="en-US" w:eastAsia="zh-CN" w:bidi="ar-SA"/>
        </w:rPr>
        <w:t>311,935,282.09</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99.51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上缴上级</w:t>
      </w:r>
      <w:r>
        <w:rPr>
          <w:rFonts w:hint="default" w:ascii="Times New Roman" w:hAnsi="Times New Roman" w:eastAsia="仿宋_GB2312" w:cs="Times New Roman"/>
          <w:kern w:val="0"/>
          <w:sz w:val="32"/>
          <w:szCs w:val="32"/>
        </w:rPr>
        <w:t>支出</w:t>
      </w:r>
      <w:r>
        <w:rPr>
          <w:rFonts w:hint="eastAsia"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%；经营支出</w:t>
      </w:r>
      <w:r>
        <w:rPr>
          <w:rFonts w:hint="eastAsia"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，对附属单位补助</w:t>
      </w:r>
      <w:r>
        <w:rPr>
          <w:rFonts w:hint="default" w:ascii="Times New Roman" w:hAnsi="Times New Roman" w:eastAsia="仿宋_GB2312" w:cs="Times New Roman"/>
          <w:kern w:val="0"/>
          <w:sz w:val="32"/>
          <w:szCs w:val="32"/>
        </w:rPr>
        <w:t>支出</w:t>
      </w:r>
      <w:r>
        <w:rPr>
          <w:rFonts w:hint="eastAsia"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元，占</w:t>
      </w:r>
      <w:r>
        <w:rPr>
          <w:rFonts w:hint="eastAsia" w:ascii="Times New Roman" w:hAnsi="Times New Roman" w:eastAsia="仿宋_GB2312" w:cs="Times New Roman"/>
          <w:kern w:val="0"/>
          <w:sz w:val="32"/>
          <w:szCs w:val="32"/>
          <w:lang w:val="en-US" w:eastAsia="zh-CN"/>
        </w:rPr>
        <w:t>0.00</w:t>
      </w:r>
      <w:r>
        <w:rPr>
          <w:rFonts w:hint="default" w:ascii="Times New Roman" w:hAnsi="Times New Roman" w:eastAsia="仿宋_GB2312" w:cs="Times New Roman"/>
          <w:kern w:val="0"/>
          <w:sz w:val="32"/>
          <w:szCs w:val="32"/>
        </w:rPr>
        <w:t>%。</w:t>
      </w:r>
    </w:p>
    <w:p>
      <w:pPr>
        <w:wordWrap/>
        <w:snapToGrid/>
        <w:spacing w:line="560" w:lineRule="exact"/>
        <w:ind w:right="0" w:firstLine="0" w:firstLineChars="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0000FF"/>
          <w:kern w:val="0"/>
          <w:sz w:val="32"/>
          <w:szCs w:val="32"/>
          <w:lang w:val="en-US" w:eastAsia="zh-CN"/>
        </w:rPr>
      </w:pP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年度财政拨款收入总计</w:t>
      </w:r>
      <w:r>
        <w:rPr>
          <w:rFonts w:hint="eastAsia" w:ascii="Times New Roman" w:hAnsi="Times New Roman" w:eastAsia="仿宋_GB2312" w:cs="Times New Roman"/>
          <w:kern w:val="0"/>
          <w:sz w:val="32"/>
          <w:szCs w:val="32"/>
          <w:lang w:val="en-US" w:eastAsia="zh-CN"/>
        </w:rPr>
        <w:t>381,709,340.26</w:t>
      </w:r>
      <w:r>
        <w:rPr>
          <w:rFonts w:hint="default" w:ascii="Times New Roman" w:hAnsi="Times New Roman" w:eastAsia="仿宋_GB2312" w:cs="Times New Roman"/>
          <w:kern w:val="0"/>
          <w:sz w:val="32"/>
          <w:szCs w:val="32"/>
        </w:rPr>
        <w:t>元，支出总计381,709,340.26元。与2018年度相比，财政拨款收、支总计各增加226,262,607.38元，增长</w:t>
      </w:r>
      <w:r>
        <w:rPr>
          <w:rFonts w:hint="eastAsia" w:ascii="Times New Roman" w:hAnsi="Times New Roman" w:eastAsia="仿宋_GB2312" w:cs="Times New Roman"/>
          <w:kern w:val="0"/>
          <w:sz w:val="32"/>
          <w:szCs w:val="32"/>
          <w:lang w:val="en-US" w:eastAsia="zh-CN"/>
        </w:rPr>
        <w:t>145.56</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eastAsia="zh-CN"/>
        </w:rPr>
        <w:t>主要原因</w:t>
      </w:r>
      <w:r>
        <w:rPr>
          <w:rFonts w:hint="default" w:ascii="Times New Roman" w:hAnsi="Times New Roman" w:eastAsia="仿宋_GB2312" w:cs="Times New Roman"/>
          <w:kern w:val="0"/>
          <w:sz w:val="32"/>
          <w:szCs w:val="32"/>
        </w:rPr>
        <w:t>一是2019年由于机构改革，业务工作职能增加，</w:t>
      </w:r>
      <w:r>
        <w:rPr>
          <w:rFonts w:hint="eastAsia" w:ascii="Times New Roman" w:hAnsi="Times New Roman" w:eastAsia="仿宋_GB2312" w:cs="Times New Roman"/>
          <w:kern w:val="0"/>
          <w:sz w:val="32"/>
          <w:szCs w:val="32"/>
          <w:lang w:eastAsia="zh-CN"/>
        </w:rPr>
        <w:t>尤其新增</w:t>
      </w:r>
      <w:r>
        <w:rPr>
          <w:rFonts w:hint="eastAsia" w:ascii="Times New Roman" w:hAnsi="Times New Roman" w:eastAsia="仿宋_GB2312" w:cs="Times New Roman"/>
          <w:kern w:val="0"/>
          <w:sz w:val="32"/>
          <w:szCs w:val="32"/>
          <w:lang w:val="en-US" w:eastAsia="zh-CN"/>
        </w:rPr>
        <w:t>2019年农村人居环境整治项目和农田建设项目，财政收入和支出均增加；</w:t>
      </w:r>
      <w:r>
        <w:rPr>
          <w:rFonts w:hint="eastAsia" w:ascii="Times New Roman" w:hAnsi="Times New Roman" w:eastAsia="仿宋_GB2312" w:cs="Times New Roman"/>
          <w:kern w:val="0"/>
          <w:sz w:val="32"/>
          <w:szCs w:val="32"/>
          <w:lang w:eastAsia="zh-CN"/>
        </w:rPr>
        <w:t>二是涉农到户补贴资金原由</w:t>
      </w:r>
      <w:r>
        <w:rPr>
          <w:rFonts w:hint="eastAsia" w:ascii="Times New Roman" w:hAnsi="Times New Roman" w:eastAsia="仿宋_GB2312" w:cs="Times New Roman"/>
          <w:b w:val="0"/>
          <w:kern w:val="0"/>
          <w:sz w:val="32"/>
          <w:szCs w:val="32"/>
          <w:lang w:eastAsia="zh-CN"/>
        </w:rPr>
        <w:t>区财政局</w:t>
      </w:r>
      <w:r>
        <w:rPr>
          <w:rFonts w:hint="eastAsia" w:ascii="Times New Roman" w:hAnsi="Times New Roman" w:eastAsia="仿宋_GB2312" w:cs="Times New Roman"/>
          <w:kern w:val="0"/>
          <w:sz w:val="32"/>
          <w:szCs w:val="32"/>
          <w:lang w:eastAsia="zh-CN"/>
        </w:rPr>
        <w:t>通过一卡通发放，2019年由我局通过一卡通支付</w:t>
      </w:r>
      <w:r>
        <w:rPr>
          <w:rFonts w:hint="eastAsia"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rPr>
        <w:t>五、一般公共预算财政拨款支出决算情况说明</w:t>
      </w:r>
    </w:p>
    <w:p>
      <w:pPr>
        <w:wordWrap/>
        <w:snapToGrid/>
        <w:spacing w:line="560" w:lineRule="exact"/>
        <w:ind w:right="0" w:firstLine="643" w:firstLineChars="200"/>
        <w:textAlignment w:val="auto"/>
        <w:rPr>
          <w:rFonts w:hint="default" w:ascii="Times New Roman" w:hAnsi="Times New Roman" w:eastAsia="仿宋_GB2312" w:cs="Times New Roman"/>
          <w:b w:val="0"/>
          <w:kern w:val="0"/>
          <w:sz w:val="32"/>
          <w:szCs w:val="32"/>
          <w:lang w:eastAsia="zh-CN"/>
        </w:rPr>
      </w:pPr>
      <w:r>
        <w:rPr>
          <w:rFonts w:hint="default" w:ascii="Times New Roman" w:hAnsi="Times New Roman" w:eastAsia="仿宋_GB2312" w:cs="Times New Roman"/>
          <w:b/>
          <w:kern w:val="0"/>
          <w:sz w:val="32"/>
          <w:szCs w:val="32"/>
        </w:rPr>
        <w:t>（一）</w:t>
      </w:r>
      <w:r>
        <w:rPr>
          <w:rFonts w:hint="default" w:ascii="Times New Roman" w:hAnsi="Times New Roman" w:eastAsia="仿宋_GB2312" w:cs="Times New Roman"/>
          <w:b/>
          <w:bCs/>
          <w:kern w:val="0"/>
          <w:sz w:val="32"/>
          <w:szCs w:val="32"/>
        </w:rPr>
        <w:t>一般公共预算财政拨款支出</w:t>
      </w:r>
      <w:r>
        <w:rPr>
          <w:rFonts w:hint="default" w:ascii="Times New Roman" w:hAnsi="Times New Roman" w:eastAsia="仿宋_GB2312" w:cs="Times New Roman"/>
          <w:b/>
          <w:bCs/>
          <w:kern w:val="0"/>
          <w:sz w:val="32"/>
          <w:szCs w:val="32"/>
          <w:lang w:eastAsia="zh-CN"/>
        </w:rPr>
        <w:t>决算</w:t>
      </w:r>
      <w:r>
        <w:rPr>
          <w:rFonts w:hint="default" w:ascii="Times New Roman" w:hAnsi="Times New Roman" w:eastAsia="仿宋_GB2312" w:cs="Times New Roman"/>
          <w:b/>
          <w:kern w:val="0"/>
          <w:sz w:val="32"/>
          <w:szCs w:val="32"/>
        </w:rPr>
        <w:t>总体情况。</w:t>
      </w: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财政拨款支出246,360,807.82元，占本年支出合计的</w:t>
      </w:r>
      <w:r>
        <w:rPr>
          <w:rFonts w:hint="eastAsia" w:ascii="Times New Roman" w:hAnsi="Times New Roman" w:eastAsia="仿宋_GB2312" w:cs="Times New Roman"/>
          <w:kern w:val="0"/>
          <w:sz w:val="32"/>
          <w:szCs w:val="32"/>
          <w:lang w:val="en-US" w:eastAsia="zh-CN"/>
        </w:rPr>
        <w:t>78.59</w:t>
      </w:r>
      <w:r>
        <w:rPr>
          <w:rFonts w:hint="default" w:ascii="Times New Roman" w:hAnsi="Times New Roman" w:eastAsia="仿宋_GB2312" w:cs="Times New Roman"/>
          <w:kern w:val="0"/>
          <w:sz w:val="32"/>
          <w:szCs w:val="32"/>
        </w:rPr>
        <w:t>%。与201</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相比，</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财政拨款支出增加106,996,145.59元，</w:t>
      </w:r>
      <w:r>
        <w:rPr>
          <w:rFonts w:hint="eastAsia" w:ascii="Times New Roman" w:hAnsi="Times New Roman" w:eastAsia="仿宋_GB2312" w:cs="Times New Roman"/>
          <w:kern w:val="0"/>
          <w:sz w:val="32"/>
          <w:szCs w:val="32"/>
          <w:lang w:eastAsia="zh-CN"/>
        </w:rPr>
        <w:t>增长</w:t>
      </w:r>
      <w:r>
        <w:rPr>
          <w:rFonts w:hint="eastAsia" w:ascii="Times New Roman" w:hAnsi="Times New Roman" w:eastAsia="仿宋_GB2312" w:cs="Times New Roman"/>
          <w:kern w:val="0"/>
          <w:sz w:val="32"/>
          <w:szCs w:val="32"/>
          <w:lang w:val="en-US" w:eastAsia="zh-CN"/>
        </w:rPr>
        <w:t>76.77</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b w:val="0"/>
          <w:kern w:val="0"/>
          <w:sz w:val="32"/>
          <w:szCs w:val="32"/>
          <w:lang w:eastAsia="zh-CN"/>
        </w:rPr>
        <w:t>主要原因一是2019年由于机构改革，业务工作职能增加，尤其新增2019年农村人居环境整治项目和农田建设项目，一般公共预算财政拨款支出增加；二是</w:t>
      </w:r>
      <w:r>
        <w:rPr>
          <w:rFonts w:hint="eastAsia" w:ascii="Times New Roman" w:hAnsi="Times New Roman" w:eastAsia="仿宋_GB2312" w:cs="Times New Roman"/>
          <w:b w:val="0"/>
          <w:kern w:val="0"/>
          <w:sz w:val="32"/>
          <w:szCs w:val="32"/>
          <w:lang w:eastAsia="zh-CN"/>
        </w:rPr>
        <w:t>涉农到户补贴资金原由区财政局通过一卡通发放，</w:t>
      </w:r>
      <w:r>
        <w:rPr>
          <w:rFonts w:hint="default" w:ascii="Times New Roman" w:hAnsi="Times New Roman" w:eastAsia="仿宋_GB2312" w:cs="Times New Roman"/>
          <w:b w:val="0"/>
          <w:kern w:val="0"/>
          <w:sz w:val="32"/>
          <w:szCs w:val="32"/>
          <w:lang w:eastAsia="zh-CN"/>
        </w:rPr>
        <w:t>2019年由我局通过一卡通支付</w:t>
      </w:r>
      <w:r>
        <w:rPr>
          <w:rFonts w:hint="eastAsia" w:ascii="Times New Roman" w:hAnsi="Times New Roman" w:eastAsia="仿宋_GB2312" w:cs="Times New Roman"/>
          <w:b w:val="0"/>
          <w:kern w:val="0"/>
          <w:sz w:val="32"/>
          <w:szCs w:val="32"/>
          <w:lang w:eastAsia="zh-CN"/>
        </w:rPr>
        <w:t>，</w:t>
      </w:r>
      <w:r>
        <w:rPr>
          <w:rFonts w:hint="default" w:ascii="Times New Roman" w:hAnsi="Times New Roman" w:eastAsia="仿宋_GB2312" w:cs="Times New Roman"/>
          <w:b w:val="0"/>
          <w:kern w:val="0"/>
          <w:sz w:val="32"/>
          <w:szCs w:val="32"/>
          <w:lang w:eastAsia="zh-CN"/>
        </w:rPr>
        <w:t>一般公共预算财政拨款支出增加</w:t>
      </w:r>
      <w:r>
        <w:rPr>
          <w:rFonts w:hint="eastAsia" w:ascii="Times New Roman" w:hAnsi="Times New Roman" w:eastAsia="仿宋_GB2312" w:cs="Times New Roman"/>
          <w:b w:val="0"/>
          <w:kern w:val="0"/>
          <w:sz w:val="32"/>
          <w:szCs w:val="32"/>
          <w:lang w:eastAsia="zh-CN"/>
        </w:rPr>
        <w:t>。</w:t>
      </w:r>
    </w:p>
    <w:p>
      <w:pPr>
        <w:wordWrap/>
        <w:snapToGrid/>
        <w:spacing w:line="560" w:lineRule="exact"/>
        <w:ind w:right="0" w:firstLine="655" w:firstLineChars="204"/>
        <w:textAlignment w:val="auto"/>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kern w:val="0"/>
          <w:sz w:val="32"/>
          <w:szCs w:val="32"/>
        </w:rPr>
        <w:t>（二）</w:t>
      </w:r>
      <w:r>
        <w:rPr>
          <w:rFonts w:hint="default" w:ascii="Times New Roman" w:hAnsi="Times New Roman" w:eastAsia="仿宋_GB2312" w:cs="Times New Roman"/>
          <w:b/>
          <w:bCs/>
          <w:kern w:val="0"/>
          <w:sz w:val="32"/>
          <w:szCs w:val="32"/>
        </w:rPr>
        <w:t>一般公共预算财政拨款支出</w:t>
      </w:r>
      <w:r>
        <w:rPr>
          <w:rFonts w:hint="default" w:ascii="Times New Roman" w:hAnsi="Times New Roman" w:eastAsia="仿宋_GB2312" w:cs="Times New Roman"/>
          <w:b/>
          <w:bCs/>
          <w:kern w:val="0"/>
          <w:sz w:val="32"/>
          <w:szCs w:val="32"/>
          <w:lang w:eastAsia="zh-CN"/>
        </w:rPr>
        <w:t>决算</w:t>
      </w:r>
      <w:r>
        <w:rPr>
          <w:rFonts w:hint="default" w:ascii="Times New Roman" w:hAnsi="Times New Roman" w:eastAsia="仿宋_GB2312" w:cs="Times New Roman"/>
          <w:b/>
          <w:kern w:val="0"/>
          <w:sz w:val="32"/>
          <w:szCs w:val="32"/>
        </w:rPr>
        <w:t>结构情况。</w:t>
      </w: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财政拨款支出246,360,807.82元，主要用于以下方面：一般公共服务（类）支出40,269.57元，占</w:t>
      </w:r>
      <w:r>
        <w:rPr>
          <w:rFonts w:hint="eastAsia" w:ascii="Times New Roman" w:hAnsi="Times New Roman" w:eastAsia="仿宋_GB2312" w:cs="Times New Roman"/>
          <w:kern w:val="0"/>
          <w:sz w:val="32"/>
          <w:szCs w:val="32"/>
          <w:lang w:val="en-US" w:eastAsia="zh-CN"/>
        </w:rPr>
        <w:t>0.02</w:t>
      </w:r>
      <w:r>
        <w:rPr>
          <w:rFonts w:hint="default" w:ascii="Times New Roman" w:hAnsi="Times New Roman" w:eastAsia="仿宋_GB2312" w:cs="Times New Roman"/>
          <w:kern w:val="0"/>
          <w:sz w:val="32"/>
          <w:szCs w:val="32"/>
        </w:rPr>
        <w:t>%；公共安全支出（类）支出20,760.00元，占</w:t>
      </w:r>
      <w:r>
        <w:rPr>
          <w:rFonts w:hint="eastAsia" w:ascii="Times New Roman" w:hAnsi="Times New Roman" w:eastAsia="仿宋_GB2312" w:cs="Times New Roman"/>
          <w:kern w:val="0"/>
          <w:sz w:val="32"/>
          <w:szCs w:val="32"/>
          <w:lang w:val="en-US" w:eastAsia="zh-CN"/>
        </w:rPr>
        <w:t>0.01</w:t>
      </w:r>
      <w:r>
        <w:rPr>
          <w:rFonts w:hint="default" w:ascii="Times New Roman" w:hAnsi="Times New Roman" w:eastAsia="仿宋_GB2312" w:cs="Times New Roman"/>
          <w:kern w:val="0"/>
          <w:sz w:val="32"/>
          <w:szCs w:val="32"/>
        </w:rPr>
        <w:t>%；科学技术（类）支出315,240.00元，占</w:t>
      </w:r>
      <w:r>
        <w:rPr>
          <w:rFonts w:hint="eastAsia" w:ascii="Times New Roman" w:hAnsi="Times New Roman" w:eastAsia="仿宋_GB2312" w:cs="Times New Roman"/>
          <w:kern w:val="0"/>
          <w:sz w:val="32"/>
          <w:szCs w:val="32"/>
          <w:lang w:val="en-US" w:eastAsia="zh-CN"/>
        </w:rPr>
        <w:t>0.13</w:t>
      </w:r>
      <w:r>
        <w:rPr>
          <w:rFonts w:hint="default" w:ascii="Times New Roman" w:hAnsi="Times New Roman" w:eastAsia="仿宋_GB2312" w:cs="Times New Roman"/>
          <w:kern w:val="0"/>
          <w:sz w:val="32"/>
          <w:szCs w:val="32"/>
        </w:rPr>
        <w:t>%；社会保障和就业（类）支出277,085.46元，占</w:t>
      </w:r>
      <w:r>
        <w:rPr>
          <w:rFonts w:hint="eastAsia" w:ascii="Times New Roman" w:hAnsi="Times New Roman" w:eastAsia="仿宋_GB2312" w:cs="Times New Roman"/>
          <w:kern w:val="0"/>
          <w:sz w:val="32"/>
          <w:szCs w:val="32"/>
          <w:lang w:val="en-US" w:eastAsia="zh-CN"/>
        </w:rPr>
        <w:t>0.11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卫生健康</w:t>
      </w:r>
      <w:r>
        <w:rPr>
          <w:rFonts w:hint="default" w:ascii="Times New Roman" w:hAnsi="Times New Roman" w:eastAsia="仿宋_GB2312" w:cs="Times New Roman"/>
          <w:kern w:val="0"/>
          <w:sz w:val="32"/>
          <w:szCs w:val="32"/>
        </w:rPr>
        <w:t>（类）支出76,249.24元，占</w:t>
      </w:r>
      <w:r>
        <w:rPr>
          <w:rFonts w:hint="eastAsia" w:ascii="Times New Roman" w:hAnsi="Times New Roman" w:eastAsia="仿宋_GB2312" w:cs="Times New Roman"/>
          <w:kern w:val="0"/>
          <w:sz w:val="32"/>
          <w:szCs w:val="32"/>
          <w:lang w:val="en-US" w:eastAsia="zh-CN"/>
        </w:rPr>
        <w:t>0.03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节能环保</w:t>
      </w:r>
      <w:r>
        <w:rPr>
          <w:rFonts w:hint="default" w:ascii="Times New Roman" w:hAnsi="Times New Roman" w:eastAsia="仿宋_GB2312" w:cs="Times New Roman"/>
          <w:kern w:val="0"/>
          <w:sz w:val="32"/>
          <w:szCs w:val="32"/>
        </w:rPr>
        <w:t>（类）支出44,111,838.00元，占</w:t>
      </w:r>
      <w:r>
        <w:rPr>
          <w:rFonts w:hint="eastAsia" w:ascii="Times New Roman" w:hAnsi="Times New Roman" w:eastAsia="仿宋_GB2312" w:cs="Times New Roman"/>
          <w:kern w:val="0"/>
          <w:sz w:val="32"/>
          <w:szCs w:val="32"/>
          <w:lang w:val="en-US" w:eastAsia="zh-CN"/>
        </w:rPr>
        <w:t>17.91</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城乡社区</w:t>
      </w:r>
      <w:r>
        <w:rPr>
          <w:rFonts w:hint="default" w:ascii="Times New Roman" w:hAnsi="Times New Roman" w:eastAsia="仿宋_GB2312" w:cs="Times New Roman"/>
          <w:kern w:val="0"/>
          <w:sz w:val="32"/>
          <w:szCs w:val="32"/>
        </w:rPr>
        <w:t>（类）支出15,090,000.00元，占</w:t>
      </w:r>
      <w:r>
        <w:rPr>
          <w:rFonts w:hint="eastAsia" w:ascii="Times New Roman" w:hAnsi="Times New Roman" w:eastAsia="仿宋_GB2312" w:cs="Times New Roman"/>
          <w:kern w:val="0"/>
          <w:sz w:val="32"/>
          <w:szCs w:val="32"/>
          <w:lang w:val="en-US" w:eastAsia="zh-CN"/>
        </w:rPr>
        <w:t>6.13</w:t>
      </w:r>
      <w:r>
        <w:rPr>
          <w:rFonts w:hint="default" w:ascii="Times New Roman" w:hAnsi="Times New Roman" w:eastAsia="仿宋_GB2312" w:cs="Times New Roman"/>
          <w:kern w:val="0"/>
          <w:sz w:val="32"/>
          <w:szCs w:val="32"/>
        </w:rPr>
        <w:t>%；农林水（类）支出185,855,580.45元，占</w:t>
      </w:r>
      <w:r>
        <w:rPr>
          <w:rFonts w:hint="eastAsia" w:ascii="Times New Roman" w:hAnsi="Times New Roman" w:eastAsia="仿宋_GB2312" w:cs="Times New Roman"/>
          <w:kern w:val="0"/>
          <w:sz w:val="32"/>
          <w:szCs w:val="32"/>
          <w:lang w:val="en-US" w:eastAsia="zh-CN"/>
        </w:rPr>
        <w:t>75.44</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住房保障（类）支出128,102.10元，占</w:t>
      </w:r>
      <w:r>
        <w:rPr>
          <w:rFonts w:hint="eastAsia" w:ascii="Times New Roman" w:hAnsi="Times New Roman" w:eastAsia="仿宋_GB2312" w:cs="Times New Roman"/>
          <w:kern w:val="0"/>
          <w:sz w:val="32"/>
          <w:szCs w:val="32"/>
          <w:lang w:val="en-US" w:eastAsia="zh-CN"/>
        </w:rPr>
        <w:t>0.05</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粮油物资储备</w:t>
      </w:r>
      <w:r>
        <w:rPr>
          <w:rFonts w:hint="eastAsia" w:ascii="Times New Roman" w:hAnsi="Times New Roman" w:eastAsia="仿宋_GB2312" w:cs="Times New Roman"/>
          <w:kern w:val="0"/>
          <w:sz w:val="32"/>
          <w:szCs w:val="32"/>
          <w:lang w:eastAsia="zh-CN"/>
        </w:rPr>
        <w:t>（类）</w:t>
      </w:r>
      <w:r>
        <w:rPr>
          <w:rFonts w:hint="default" w:ascii="Times New Roman" w:hAnsi="Times New Roman" w:eastAsia="仿宋_GB2312" w:cs="Times New Roman"/>
          <w:kern w:val="0"/>
          <w:sz w:val="32"/>
          <w:szCs w:val="32"/>
        </w:rPr>
        <w:t>支出445,683.00</w:t>
      </w:r>
      <w:r>
        <w:rPr>
          <w:rFonts w:hint="eastAsia" w:ascii="Times New Roman" w:hAnsi="Times New Roman" w:eastAsia="仿宋_GB2312" w:cs="Times New Roman"/>
          <w:kern w:val="0"/>
          <w:sz w:val="32"/>
          <w:szCs w:val="32"/>
          <w:lang w:eastAsia="zh-CN"/>
        </w:rPr>
        <w:t>元，占</w:t>
      </w:r>
      <w:r>
        <w:rPr>
          <w:rFonts w:hint="eastAsia" w:ascii="Times New Roman" w:hAnsi="Times New Roman" w:eastAsia="仿宋_GB2312" w:cs="Times New Roman"/>
          <w:kern w:val="0"/>
          <w:sz w:val="32"/>
          <w:szCs w:val="32"/>
          <w:lang w:val="en-US" w:eastAsia="zh-CN"/>
        </w:rPr>
        <w:t>0.18%。</w:t>
      </w:r>
    </w:p>
    <w:p>
      <w:pPr>
        <w:wordWrap/>
        <w:snapToGrid/>
        <w:spacing w:line="560" w:lineRule="exact"/>
        <w:ind w:right="0" w:firstLine="652" w:firstLineChars="204"/>
        <w:textAlignment w:val="auto"/>
        <w:rPr>
          <w:rFonts w:hint="default" w:ascii="Times New Roman" w:hAnsi="Times New Roman" w:eastAsia="仿宋_GB2312" w:cs="Times New Roman"/>
          <w:b/>
          <w:kern w:val="0"/>
          <w:sz w:val="32"/>
          <w:szCs w:val="32"/>
          <w:lang w:val="en-US" w:eastAsia="zh-CN"/>
        </w:rPr>
      </w:pPr>
      <w:r>
        <w:rPr>
          <w:rFonts w:hint="default" w:ascii="Times New Roman" w:hAnsi="Times New Roman" w:eastAsia="仿宋_GB2312" w:cs="Times New Roman"/>
          <w:kern w:val="0"/>
          <w:sz w:val="32"/>
          <w:szCs w:val="32"/>
          <w:lang w:val="en-US" w:eastAsia="zh-CN"/>
        </w:rPr>
        <w:t>外交（类）支出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%；国防（类）支出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%；教育（类）支出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%；文化旅游体育与传媒（类）支出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%；交通运输（类）支出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%；资源勘探信息等（类）支出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%；商业服务业等（类）支出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%；金融（类）支出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%；援助其他地区（类）支出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%；自然资源海洋气象等（类）支出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lang w:val="en-US" w:eastAsia="zh-CN"/>
        </w:rPr>
        <w:t>元，占0%；灾害防治及应急管理（类）支出0元，占0%；其他（类）支出0元，占0%；债务还本（类）支出0元，占0%</w:t>
      </w:r>
      <w:r>
        <w:rPr>
          <w:rFonts w:hint="eastAsia" w:ascii="Times New Roman" w:hAnsi="Times New Roman" w:eastAsia="仿宋_GB2312" w:cs="Times New Roman"/>
          <w:kern w:val="0"/>
          <w:sz w:val="32"/>
          <w:szCs w:val="32"/>
          <w:lang w:val="en-US" w:eastAsia="zh-CN"/>
        </w:rPr>
        <w:t>；债务付息</w:t>
      </w:r>
      <w:r>
        <w:rPr>
          <w:rFonts w:hint="default" w:ascii="Times New Roman" w:hAnsi="Times New Roman" w:eastAsia="仿宋_GB2312" w:cs="Times New Roman"/>
          <w:kern w:val="0"/>
          <w:sz w:val="32"/>
          <w:szCs w:val="32"/>
          <w:lang w:val="en-US" w:eastAsia="zh-CN"/>
        </w:rPr>
        <w:t>（类）支出0元，占0%</w:t>
      </w:r>
      <w:r>
        <w:rPr>
          <w:rFonts w:hint="eastAsia" w:ascii="Times New Roman" w:hAnsi="Times New Roman" w:eastAsia="仿宋_GB2312" w:cs="Times New Roman"/>
          <w:kern w:val="0"/>
          <w:sz w:val="32"/>
          <w:szCs w:val="32"/>
          <w:lang w:val="en-US" w:eastAsia="zh-CN"/>
        </w:rPr>
        <w:t>。</w:t>
      </w:r>
    </w:p>
    <w:p>
      <w:pPr>
        <w:spacing w:line="540" w:lineRule="exact"/>
        <w:ind w:firstLine="643" w:firstLineChars="200"/>
        <w:rPr>
          <w:rFonts w:hint="eastAsia" w:ascii="仿宋_GB2312" w:hAnsi="仿宋_GB2312" w:eastAsia="仿宋_GB2312" w:cs="仿宋_GB2312"/>
          <w:b/>
          <w:bCs/>
          <w:sz w:val="32"/>
          <w:szCs w:val="32"/>
          <w:highlight w:val="none"/>
          <w:lang w:val="en-US" w:eastAsia="zh-CN"/>
        </w:rPr>
      </w:pPr>
      <w:r>
        <w:rPr>
          <w:rFonts w:hint="default" w:ascii="Times New Roman" w:hAnsi="Times New Roman" w:eastAsia="仿宋_GB2312" w:cs="Times New Roman"/>
          <w:b/>
          <w:kern w:val="0"/>
          <w:sz w:val="32"/>
          <w:szCs w:val="32"/>
        </w:rPr>
        <w:t>（</w:t>
      </w:r>
      <w:r>
        <w:rPr>
          <w:rFonts w:hint="eastAsia" w:ascii="Times New Roman" w:hAnsi="Times New Roman" w:eastAsia="仿宋_GB2312" w:cs="Times New Roman"/>
          <w:b/>
          <w:kern w:val="0"/>
          <w:sz w:val="32"/>
          <w:szCs w:val="32"/>
          <w:lang w:eastAsia="zh-CN"/>
        </w:rPr>
        <w:t>三</w:t>
      </w:r>
      <w:r>
        <w:rPr>
          <w:rFonts w:hint="default" w:ascii="Times New Roman" w:hAnsi="Times New Roman" w:eastAsia="仿宋_GB2312" w:cs="Times New Roman"/>
          <w:b/>
          <w:kern w:val="0"/>
          <w:sz w:val="32"/>
          <w:szCs w:val="32"/>
        </w:rPr>
        <w:t>）</w:t>
      </w:r>
      <w:r>
        <w:rPr>
          <w:rFonts w:hint="default" w:ascii="Times New Roman" w:hAnsi="Times New Roman" w:eastAsia="仿宋_GB2312" w:cs="Times New Roman"/>
          <w:b/>
          <w:bCs/>
          <w:kern w:val="0"/>
          <w:sz w:val="32"/>
          <w:szCs w:val="32"/>
        </w:rPr>
        <w:t>一般公共预算财政拨款支出</w:t>
      </w:r>
      <w:r>
        <w:rPr>
          <w:rFonts w:hint="default" w:ascii="Times New Roman" w:hAnsi="Times New Roman" w:eastAsia="仿宋_GB2312" w:cs="Times New Roman"/>
          <w:b/>
          <w:bCs/>
          <w:kern w:val="0"/>
          <w:sz w:val="32"/>
          <w:szCs w:val="32"/>
          <w:lang w:eastAsia="zh-CN"/>
        </w:rPr>
        <w:t>决算</w:t>
      </w:r>
      <w:r>
        <w:rPr>
          <w:rFonts w:hint="default" w:ascii="Times New Roman" w:hAnsi="Times New Roman" w:eastAsia="仿宋_GB2312" w:cs="Times New Roman"/>
          <w:b/>
          <w:kern w:val="0"/>
          <w:sz w:val="32"/>
          <w:szCs w:val="32"/>
        </w:rPr>
        <w:t>具体情况。</w:t>
      </w: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w:t>
      </w:r>
      <w:r>
        <w:rPr>
          <w:rFonts w:hint="default" w:ascii="Times New Roman" w:hAnsi="Times New Roman" w:eastAsia="仿宋_GB2312" w:cs="Times New Roman"/>
          <w:b w:val="0"/>
          <w:kern w:val="0"/>
          <w:sz w:val="32"/>
          <w:szCs w:val="32"/>
        </w:rPr>
        <w:t>一般公共预算</w:t>
      </w:r>
      <w:r>
        <w:rPr>
          <w:rFonts w:hint="default" w:ascii="Times New Roman" w:hAnsi="Times New Roman" w:eastAsia="仿宋_GB2312" w:cs="Times New Roman"/>
          <w:kern w:val="0"/>
          <w:sz w:val="32"/>
          <w:szCs w:val="32"/>
        </w:rPr>
        <w:t>财政拨款支出年初预算为</w:t>
      </w:r>
      <w:r>
        <w:rPr>
          <w:rFonts w:hint="eastAsia" w:ascii="Times New Roman" w:hAnsi="Times New Roman" w:eastAsia="仿宋_GB2312" w:cs="Times New Roman"/>
          <w:kern w:val="0"/>
          <w:sz w:val="32"/>
          <w:szCs w:val="32"/>
          <w:lang w:val="en-US" w:eastAsia="zh-CN"/>
        </w:rPr>
        <w:t>1,429,600.00</w:t>
      </w:r>
      <w:r>
        <w:rPr>
          <w:rFonts w:hint="default" w:ascii="Times New Roman" w:hAnsi="Times New Roman" w:eastAsia="仿宋_GB2312" w:cs="Times New Roman"/>
          <w:kern w:val="0"/>
          <w:sz w:val="32"/>
          <w:szCs w:val="32"/>
        </w:rPr>
        <w:t>元，支出决算为246,360,807.82元，完成年初预算的</w:t>
      </w:r>
      <w:r>
        <w:rPr>
          <w:rFonts w:hint="eastAsia" w:ascii="Times New Roman" w:hAnsi="Times New Roman" w:eastAsia="仿宋_GB2312" w:cs="Times New Roman"/>
          <w:kern w:val="0"/>
          <w:sz w:val="32"/>
          <w:szCs w:val="32"/>
          <w:lang w:val="en-US" w:eastAsia="zh-CN"/>
        </w:rPr>
        <w:t>17232.85%</w:t>
      </w:r>
      <w:r>
        <w:rPr>
          <w:rFonts w:hint="default" w:ascii="Times New Roman" w:hAnsi="Times New Roman" w:eastAsia="仿宋_GB2312" w:cs="Times New Roman"/>
          <w:kern w:val="0"/>
          <w:sz w:val="32"/>
          <w:szCs w:val="32"/>
        </w:rPr>
        <w:t>。决算数大于预算数的主要原因：一是</w:t>
      </w:r>
      <w:r>
        <w:rPr>
          <w:rFonts w:hint="eastAsia" w:ascii="Times New Roman" w:hAnsi="Times New Roman" w:eastAsia="仿宋_GB2312" w:cs="Times New Roman"/>
          <w:kern w:val="0"/>
          <w:sz w:val="32"/>
          <w:szCs w:val="32"/>
          <w:lang w:eastAsia="zh-CN"/>
        </w:rPr>
        <w:t>中央和自治区农业专项资金</w:t>
      </w:r>
      <w:r>
        <w:rPr>
          <w:rFonts w:hint="default" w:ascii="Times New Roman" w:hAnsi="Times New Roman" w:eastAsia="仿宋_GB2312" w:cs="Times New Roman"/>
          <w:kern w:val="0"/>
          <w:sz w:val="32"/>
          <w:szCs w:val="32"/>
        </w:rPr>
        <w:t>未列入</w:t>
      </w:r>
      <w:r>
        <w:rPr>
          <w:rFonts w:hint="eastAsia" w:ascii="Times New Roman" w:hAnsi="Times New Roman" w:eastAsia="仿宋_GB2312" w:cs="Times New Roman"/>
          <w:kern w:val="0"/>
          <w:sz w:val="32"/>
          <w:szCs w:val="32"/>
          <w:lang w:eastAsia="zh-CN"/>
        </w:rPr>
        <w:t>本部门</w:t>
      </w:r>
      <w:r>
        <w:rPr>
          <w:rFonts w:hint="default" w:ascii="Times New Roman" w:hAnsi="Times New Roman" w:eastAsia="仿宋_GB2312" w:cs="Times New Roman"/>
          <w:kern w:val="0"/>
          <w:sz w:val="32"/>
          <w:szCs w:val="32"/>
        </w:rPr>
        <w:t>年初预算资金</w:t>
      </w:r>
      <w:r>
        <w:rPr>
          <w:rFonts w:hint="eastAsia" w:ascii="Times New Roman" w:hAnsi="Times New Roman" w:eastAsia="仿宋_GB2312" w:cs="Times New Roman"/>
          <w:kern w:val="0"/>
          <w:sz w:val="32"/>
          <w:szCs w:val="32"/>
          <w:lang w:eastAsia="zh-CN"/>
        </w:rPr>
        <w:t>；二是在</w:t>
      </w:r>
      <w:r>
        <w:rPr>
          <w:rFonts w:hint="eastAsia" w:ascii="仿宋_GB2312" w:hAnsi="Calibri" w:eastAsia="仿宋_GB2312"/>
          <w:sz w:val="32"/>
          <w:szCs w:val="32"/>
          <w:lang w:eastAsia="zh-CN"/>
        </w:rPr>
        <w:t>一般公共服务支出</w:t>
      </w:r>
      <w:r>
        <w:rPr>
          <w:rFonts w:hint="eastAsia" w:ascii="Times New Roman" w:hAnsi="Times New Roman" w:eastAsia="仿宋_GB2312" w:cs="Times New Roman"/>
          <w:kern w:val="0"/>
          <w:sz w:val="32"/>
          <w:szCs w:val="32"/>
          <w:lang w:eastAsia="zh-CN"/>
        </w:rPr>
        <w:t>、粮油物资储备支出</w:t>
      </w:r>
      <w:r>
        <w:rPr>
          <w:rFonts w:hint="eastAsia" w:ascii="仿宋_GB2312" w:hAnsi="Calibri" w:eastAsia="仿宋_GB2312"/>
          <w:sz w:val="32"/>
          <w:szCs w:val="32"/>
          <w:lang w:eastAsia="zh-CN"/>
        </w:rPr>
        <w:t>年初未做预算。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1.一般公共服务(类)政府办公厅（室）及相关机构事务(款)其他政府办公厅（室）及相关机构事务支出(项)。</w:t>
      </w:r>
      <w:r>
        <w:rPr>
          <w:rFonts w:hint="eastAsia" w:ascii="仿宋_GB2312" w:hAnsi="仿宋_GB2312" w:eastAsia="仿宋_GB2312" w:cs="仿宋_GB2312"/>
          <w:b w:val="0"/>
          <w:bCs w:val="0"/>
          <w:sz w:val="32"/>
          <w:szCs w:val="32"/>
          <w:highlight w:val="none"/>
          <w:lang w:val="en-US" w:eastAsia="zh-CN"/>
        </w:rPr>
        <w:t>年初预算数为0元，支出决算数40,269.57元。决算数大于预算数的主要原因:一是年初预算未安排一般公共服务支出；二是2018年相关资金结转至2019年继续使用。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2.公共安全支出（类）司法（款）法制建设（项）。</w:t>
      </w:r>
      <w:r>
        <w:rPr>
          <w:rFonts w:hint="eastAsia" w:ascii="仿宋_GB2312" w:hAnsi="仿宋_GB2312" w:eastAsia="仿宋_GB2312" w:cs="仿宋_GB2312"/>
          <w:b w:val="0"/>
          <w:bCs w:val="0"/>
          <w:sz w:val="32"/>
          <w:szCs w:val="32"/>
          <w:highlight w:val="none"/>
          <w:lang w:val="en-US" w:eastAsia="zh-CN"/>
        </w:rPr>
        <w:t>年初预算数为0元，支出决算数20,760.00元。决算数大于预算数的主要原因:此资金为行政执法设备资金，2018年付完预付款和进度款，2019年付完尾款。</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3.科学技术支出（类）技术研究与开发（款）其他技术研究与开发支出（项）。</w:t>
      </w:r>
      <w:r>
        <w:rPr>
          <w:rFonts w:hint="eastAsia" w:ascii="仿宋_GB2312" w:hAnsi="仿宋_GB2312" w:eastAsia="仿宋_GB2312" w:cs="仿宋_GB2312"/>
          <w:b w:val="0"/>
          <w:bCs w:val="0"/>
          <w:sz w:val="32"/>
          <w:szCs w:val="32"/>
          <w:highlight w:val="none"/>
          <w:lang w:val="en-US" w:eastAsia="zh-CN"/>
        </w:rPr>
        <w:t>年初预算数为0元，支出决算数315,240.00元。决算数大于预算数的主要原因:2018年相关资金结转至2019年继续使用。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4.社会保障和就业支出（类）民政管理事务（款）其他民政管理事务支出（项），</w:t>
      </w:r>
      <w:r>
        <w:rPr>
          <w:rFonts w:hint="eastAsia" w:ascii="仿宋_GB2312" w:hAnsi="仿宋_GB2312" w:eastAsia="仿宋_GB2312" w:cs="仿宋_GB2312"/>
          <w:b w:val="0"/>
          <w:bCs w:val="0"/>
          <w:color w:val="auto"/>
          <w:sz w:val="32"/>
          <w:szCs w:val="32"/>
          <w:highlight w:val="none"/>
          <w:lang w:val="en-US" w:eastAsia="zh-CN"/>
        </w:rPr>
        <w:t>年初预算数为0元，支出决算数6000元。决算数大于预算数的主要原因:年初预算未安排其他民政管理事务支出。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5.社会保障和就业支出（类）行政事业单位离退休（款）未归口管理的行政单位离退休（项）。</w:t>
      </w:r>
      <w:r>
        <w:rPr>
          <w:rFonts w:hint="eastAsia" w:ascii="仿宋_GB2312" w:hAnsi="仿宋_GB2312" w:eastAsia="仿宋_GB2312" w:cs="仿宋_GB2312"/>
          <w:b w:val="0"/>
          <w:bCs w:val="0"/>
          <w:sz w:val="32"/>
          <w:szCs w:val="32"/>
          <w:highlight w:val="none"/>
          <w:lang w:val="en-US" w:eastAsia="zh-CN"/>
        </w:rPr>
        <w:t>年初预算数为0元，支出决算数</w:t>
      </w:r>
      <w:r>
        <w:rPr>
          <w:rFonts w:hint="eastAsia" w:ascii="仿宋_GB2312" w:hAnsi="仿宋_GB2312" w:eastAsia="仿宋_GB2312" w:cs="仿宋_GB2312"/>
          <w:b w:val="0"/>
          <w:bCs w:val="0"/>
          <w:color w:val="auto"/>
          <w:sz w:val="32"/>
          <w:szCs w:val="32"/>
          <w:highlight w:val="none"/>
          <w:lang w:val="en-US" w:eastAsia="zh-CN"/>
        </w:rPr>
        <w:t>6000元，主要原因年初未安未归口管理的行政单位离退休支出。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6.社会保障和就业支出（类）行政事业单位离退休（款） 机关事业单位基本养老保险缴费支出（项）。</w:t>
      </w:r>
      <w:r>
        <w:rPr>
          <w:rFonts w:hint="eastAsia" w:ascii="仿宋_GB2312" w:hAnsi="仿宋_GB2312" w:eastAsia="仿宋_GB2312" w:cs="仿宋_GB2312"/>
          <w:b w:val="0"/>
          <w:bCs w:val="0"/>
          <w:sz w:val="32"/>
          <w:szCs w:val="32"/>
          <w:highlight w:val="none"/>
          <w:lang w:val="en-US" w:eastAsia="zh-CN"/>
        </w:rPr>
        <w:t>年初预算数为129,000.00 元，支出决算数107,356.32元，完成年初预算的83.22%。决算数小于预算数的主要原因:一是养老保险缴费比例下调；二是缴费人员减少。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7.社会保障和就业支出（类）行政事业单位离退休（款）机关事业单位职业年金缴费支出（项）。</w:t>
      </w:r>
      <w:r>
        <w:rPr>
          <w:rFonts w:hint="eastAsia" w:ascii="仿宋_GB2312" w:hAnsi="仿宋_GB2312" w:eastAsia="仿宋_GB2312" w:cs="仿宋_GB2312"/>
          <w:b w:val="0"/>
          <w:bCs w:val="0"/>
          <w:sz w:val="32"/>
          <w:szCs w:val="32"/>
          <w:highlight w:val="none"/>
          <w:lang w:val="en-US" w:eastAsia="zh-CN"/>
        </w:rPr>
        <w:t>年初预算数为0元，支出决算数11,539.95元。决算数大于预算数的主要原因:年初预算未安排职业年金缴费支出，年中按照退休人员的职业年金虚账进行核算。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8.社会保障和就业支出（类）就业补助（款）公益性岗位补贴（项）。</w:t>
      </w:r>
      <w:r>
        <w:rPr>
          <w:rFonts w:hint="eastAsia" w:ascii="仿宋_GB2312" w:hAnsi="仿宋_GB2312" w:eastAsia="仿宋_GB2312" w:cs="仿宋_GB2312"/>
          <w:b w:val="0"/>
          <w:bCs w:val="0"/>
          <w:sz w:val="32"/>
          <w:szCs w:val="32"/>
          <w:highlight w:val="none"/>
          <w:lang w:val="en-US" w:eastAsia="zh-CN"/>
        </w:rPr>
        <w:t>年初预算数为0.00元，支出决算数146,189.19元。决算数大于预算数的主要原因:一是年初预算未安排公益性岗位补贴支出；二是2018年资金结转至2019年继续使用。</w:t>
      </w:r>
      <w:r>
        <w:rPr>
          <w:rFonts w:hint="eastAsia" w:ascii="仿宋_GB2312" w:hAnsi="仿宋_GB2312" w:eastAsia="仿宋_GB2312" w:cs="仿宋_GB2312"/>
          <w:b w:val="0"/>
          <w:bCs w:val="0"/>
          <w:sz w:val="32"/>
          <w:szCs w:val="32"/>
          <w:highlight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9.卫生健康支出（类）行政事业单位医疗（款）行政单位医疗（项）。</w:t>
      </w:r>
      <w:r>
        <w:rPr>
          <w:rFonts w:hint="eastAsia" w:ascii="仿宋_GB2312" w:hAnsi="仿宋_GB2312" w:eastAsia="仿宋_GB2312" w:cs="仿宋_GB2312"/>
          <w:b w:val="0"/>
          <w:bCs w:val="0"/>
          <w:sz w:val="32"/>
          <w:szCs w:val="32"/>
          <w:highlight w:val="none"/>
          <w:lang w:val="en-US" w:eastAsia="zh-CN"/>
        </w:rPr>
        <w:t>年初预算数为51,600.00 元，支出决算数49,745.36元，完成年初预算的96.41%。决算数小于预算数的主要原因:年中核减编制，增加退休人员，缴费人员减少。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10.卫生健康支出（类）行政事业单位医疗（款）公务员医疗补助（项）。</w:t>
      </w:r>
      <w:r>
        <w:rPr>
          <w:rFonts w:hint="eastAsia" w:ascii="仿宋_GB2312" w:hAnsi="仿宋_GB2312" w:eastAsia="仿宋_GB2312" w:cs="仿宋_GB2312"/>
          <w:b w:val="0"/>
          <w:bCs w:val="0"/>
          <w:sz w:val="32"/>
          <w:szCs w:val="32"/>
          <w:highlight w:val="none"/>
          <w:lang w:val="en-US" w:eastAsia="zh-CN"/>
        </w:rPr>
        <w:t>年初预算数为25,800.00 元，支出决算数26,503.88元，完成年初预算的102.73%。决算数大于预算数的主要原因:缴费人员增加，新增杨银等4同志考核过渡登记公务员。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11.节能环保支出（类）自然生态保护（款）农村环境保护（项）。</w:t>
      </w:r>
      <w:r>
        <w:rPr>
          <w:rFonts w:hint="eastAsia" w:ascii="仿宋_GB2312" w:hAnsi="仿宋_GB2312" w:eastAsia="仿宋_GB2312" w:cs="仿宋_GB2312"/>
          <w:b w:val="0"/>
          <w:bCs w:val="0"/>
          <w:sz w:val="32"/>
          <w:szCs w:val="32"/>
          <w:highlight w:val="none"/>
          <w:lang w:val="en-US" w:eastAsia="zh-CN"/>
        </w:rPr>
        <w:t>年初预算数为0 元，支出决算数44,071,860.00元。决算数大于预算数的主要原因:一是年初未安排相关预算；二是以前年度资金结转至2019年继续使用。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农村环境保护支出主要包括2017年畜禽粪污资源化利用第二、三批项目3,540,400.00元、2018年畜禽污资源化利用项目4,322,000.00元、2019年度沙坡头区农村人居环境项目32,310,000.00元和沙坡头区2019年秋冬季农田水利基本建设暨农村人居环境综合整治费用3,899,460.00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12.节能环保支出（类）退耕还林（款）其他退耕还林支出（项）。</w:t>
      </w:r>
      <w:r>
        <w:rPr>
          <w:rFonts w:hint="eastAsia" w:ascii="仿宋_GB2312" w:hAnsi="仿宋_GB2312" w:eastAsia="仿宋_GB2312" w:cs="仿宋_GB2312"/>
          <w:b w:val="0"/>
          <w:bCs w:val="0"/>
          <w:sz w:val="32"/>
          <w:szCs w:val="32"/>
          <w:highlight w:val="none"/>
          <w:lang w:val="en-US" w:eastAsia="zh-CN"/>
        </w:rPr>
        <w:t>年初预算数为0 元，支出决算数39,978.00元。决算数大于预算数的主要原因:以前年度资金结转至2019年继续使用。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lang w:val="en-US" w:eastAsia="zh-CN"/>
        </w:rPr>
      </w:pPr>
      <w:r>
        <w:rPr>
          <w:rFonts w:hint="eastAsia" w:ascii="仿宋_GB2312" w:hAnsi="仿宋_GB2312" w:eastAsia="仿宋_GB2312" w:cs="仿宋_GB2312"/>
          <w:b/>
          <w:bCs/>
          <w:sz w:val="32"/>
          <w:szCs w:val="32"/>
          <w:highlight w:val="none"/>
          <w:lang w:val="en-US" w:eastAsia="zh-CN"/>
        </w:rPr>
        <w:t>13.城乡社区支出（类）城乡社区管理事务（款）其他城乡社区管理事务支出（项）。</w:t>
      </w:r>
      <w:r>
        <w:rPr>
          <w:rFonts w:hint="eastAsia" w:ascii="仿宋_GB2312" w:hAnsi="仿宋_GB2312" w:eastAsia="仿宋_GB2312" w:cs="仿宋_GB2312"/>
          <w:b w:val="0"/>
          <w:bCs w:val="0"/>
          <w:sz w:val="32"/>
          <w:szCs w:val="32"/>
          <w:highlight w:val="none"/>
          <w:lang w:val="en-US" w:eastAsia="zh-CN"/>
        </w:rPr>
        <w:t>年初预算数为0 元，支出决算数15,090,000.00元。决算数大于预算数的主要原因:年初未安排相关预算。其他城乡社区管理事务支出包括2019年度沙坡头区农村人居环境建设项目资金1,550,000.00元、2019年农村“厕所革命”建设项目资金13,540,000.00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14.农林水支出（类）农业（款）行政运行（项）。</w:t>
      </w:r>
      <w:r>
        <w:rPr>
          <w:rFonts w:hint="eastAsia" w:ascii="仿宋_GB2312" w:hAnsi="仿宋_GB2312" w:eastAsia="仿宋_GB2312" w:cs="仿宋_GB2312"/>
          <w:b w:val="0"/>
          <w:bCs w:val="0"/>
          <w:sz w:val="32"/>
          <w:szCs w:val="32"/>
          <w:highlight w:val="none"/>
          <w:lang w:val="en-US" w:eastAsia="zh-CN"/>
        </w:rPr>
        <w:t>年初预算数为1,145,800.00 元，支出决算数1,196,349.00元，完成年初预算的104.41%。决算数大于预算数的主要原因:一是2019年实有人数大于年初预算数，相应工资和各类奖金及补贴增加；二是发放2015-2018年在职人员住房补贴，此补贴未安排到年初预算；</w:t>
      </w:r>
      <w:r>
        <w:rPr>
          <w:rFonts w:hint="eastAsia" w:ascii="Times New Roman" w:hAnsi="Times New Roman" w:eastAsia="仿宋_GB2312" w:cs="Times New Roman"/>
          <w:color w:val="auto"/>
          <w:sz w:val="32"/>
          <w:szCs w:val="32"/>
          <w:lang w:eastAsia="zh-CN"/>
        </w:rPr>
        <w:t>三是晋级增资。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15.农林水支出（类）农业（款）一般行政管理事务（项）。</w:t>
      </w:r>
      <w:r>
        <w:rPr>
          <w:rFonts w:hint="eastAsia" w:ascii="仿宋_GB2312" w:hAnsi="仿宋_GB2312" w:eastAsia="仿宋_GB2312" w:cs="仿宋_GB2312"/>
          <w:b w:val="0"/>
          <w:bCs w:val="0"/>
          <w:sz w:val="32"/>
          <w:szCs w:val="32"/>
          <w:highlight w:val="none"/>
          <w:lang w:val="en-US" w:eastAsia="zh-CN"/>
        </w:rPr>
        <w:t>年初预算数为0.00元，支出决算数197,181.55元。决算数大于预算数的主要原因:年初未安排相关预算。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16.农林水支出（类）农业（款）科技转化与推广服务（项）。</w:t>
      </w:r>
      <w:r>
        <w:rPr>
          <w:rFonts w:hint="eastAsia" w:ascii="仿宋_GB2312" w:hAnsi="仿宋_GB2312" w:eastAsia="仿宋_GB2312" w:cs="仿宋_GB2312"/>
          <w:b w:val="0"/>
          <w:bCs w:val="0"/>
          <w:sz w:val="32"/>
          <w:szCs w:val="32"/>
          <w:highlight w:val="none"/>
          <w:lang w:val="en-US" w:eastAsia="zh-CN"/>
        </w:rPr>
        <w:t>年初预算数为0 元，支出决算数3,992,229.26元。一是年初未安排相关预算；二是以前年度资金结转至2019年继续使用。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lang w:val="en-US" w:eastAsia="zh-CN"/>
        </w:rPr>
      </w:pPr>
      <w:r>
        <w:rPr>
          <w:rFonts w:hint="eastAsia" w:ascii="仿宋_GB2312" w:hAnsi="仿宋_GB2312" w:eastAsia="仿宋_GB2312" w:cs="仿宋_GB2312"/>
          <w:b/>
          <w:bCs/>
          <w:sz w:val="32"/>
          <w:szCs w:val="32"/>
          <w:highlight w:val="none"/>
          <w:lang w:val="en-US" w:eastAsia="zh-CN"/>
        </w:rPr>
        <w:t>17.农林水支出（类）农业（款）病虫害控制（项）。</w:t>
      </w:r>
      <w:r>
        <w:rPr>
          <w:rFonts w:hint="eastAsia" w:ascii="仿宋_GB2312" w:hAnsi="仿宋_GB2312" w:eastAsia="仿宋_GB2312" w:cs="仿宋_GB2312"/>
          <w:b w:val="0"/>
          <w:bCs w:val="0"/>
          <w:sz w:val="32"/>
          <w:szCs w:val="32"/>
          <w:highlight w:val="none"/>
          <w:lang w:val="en-US" w:eastAsia="zh-CN"/>
        </w:rPr>
        <w:t>年初预算数为0.00 元，支出决算数4,992,050.00。决算数大于预算数的主要原因:一是年初预算未安排中央及自治区项目资金；二是以前年度资金结转至2019年继续使用。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18.农林水支出（类）农业（款）农产品质量安全（项）。</w:t>
      </w:r>
      <w:r>
        <w:rPr>
          <w:rFonts w:hint="eastAsia" w:ascii="仿宋_GB2312" w:hAnsi="仿宋_GB2312" w:eastAsia="仿宋_GB2312" w:cs="仿宋_GB2312"/>
          <w:b w:val="0"/>
          <w:bCs w:val="0"/>
          <w:sz w:val="32"/>
          <w:szCs w:val="32"/>
          <w:highlight w:val="none"/>
          <w:lang w:val="en-US" w:eastAsia="zh-CN"/>
        </w:rPr>
        <w:t>年初预算数为0 元，支出决算数91,052.00元。决算数大于预算数的主要原因:年初预算未安排中央及自治区项目资金。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19.农林水支出（类）农业（款）执法监管（项）。</w:t>
      </w:r>
      <w:r>
        <w:rPr>
          <w:rFonts w:hint="eastAsia" w:ascii="仿宋_GB2312" w:hAnsi="仿宋_GB2312" w:eastAsia="仿宋_GB2312" w:cs="仿宋_GB2312"/>
          <w:b w:val="0"/>
          <w:bCs w:val="0"/>
          <w:sz w:val="32"/>
          <w:szCs w:val="32"/>
          <w:highlight w:val="none"/>
          <w:lang w:val="en-US" w:eastAsia="zh-CN"/>
        </w:rPr>
        <w:t>年初预算数为0 元，支出决算数148,000.00元。决算数大于预算数的主要原因:一是年初预算未安排中央及自治区项目资金；二是以前年度资金结转至2019年继续使用。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20.农林水支出（类）农业（款）农业行业业务管理（项）。</w:t>
      </w:r>
      <w:r>
        <w:rPr>
          <w:rFonts w:hint="eastAsia" w:ascii="仿宋_GB2312" w:hAnsi="仿宋_GB2312" w:eastAsia="仿宋_GB2312" w:cs="仿宋_GB2312"/>
          <w:b w:val="0"/>
          <w:bCs w:val="0"/>
          <w:sz w:val="32"/>
          <w:szCs w:val="32"/>
          <w:highlight w:val="none"/>
          <w:lang w:val="en-US" w:eastAsia="zh-CN"/>
        </w:rPr>
        <w:t>年初预算数为0 元，支出决算数30,000.00元。决算数大于预算数的主要原因:年初预算未安排中央及自治区项目资金。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21.农林水支出（类）农业（款）防灾救灾（项）。</w:t>
      </w:r>
      <w:r>
        <w:rPr>
          <w:rFonts w:hint="eastAsia" w:ascii="仿宋_GB2312" w:hAnsi="仿宋_GB2312" w:eastAsia="仿宋_GB2312" w:cs="仿宋_GB2312"/>
          <w:b w:val="0"/>
          <w:bCs w:val="0"/>
          <w:sz w:val="32"/>
          <w:szCs w:val="32"/>
          <w:highlight w:val="none"/>
          <w:lang w:val="en-US" w:eastAsia="zh-CN"/>
        </w:rPr>
        <w:t>年初预算数为0.00元，支出决算数2,149,700.00元。决算数大于预算数的主要原因:年初预算未安排中央及自治区项目资金。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22.农林水支出（类）农业（款）稳定农民收入补贴（项）。</w:t>
      </w:r>
      <w:r>
        <w:rPr>
          <w:rFonts w:hint="eastAsia" w:ascii="仿宋_GB2312" w:hAnsi="仿宋_GB2312" w:eastAsia="仿宋_GB2312" w:cs="仿宋_GB2312"/>
          <w:b w:val="0"/>
          <w:bCs w:val="0"/>
          <w:sz w:val="32"/>
          <w:szCs w:val="32"/>
          <w:highlight w:val="none"/>
          <w:lang w:val="en-US" w:eastAsia="zh-CN"/>
        </w:rPr>
        <w:t>年初预算数为0 元，支出决算数400,000.00元。决算数大于预算数的主要原因:年初未安排相关预算，稳定农民收入补贴支出主要为2019年畜牧良种补贴项目资金400,000.00元。</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23.农林水支出（类）农业（款）农业结构调整补贴（项）。</w:t>
      </w:r>
      <w:r>
        <w:rPr>
          <w:rFonts w:hint="eastAsia" w:ascii="仿宋_GB2312" w:hAnsi="仿宋_GB2312" w:eastAsia="仿宋_GB2312" w:cs="仿宋_GB2312"/>
          <w:b w:val="0"/>
          <w:bCs w:val="0"/>
          <w:sz w:val="32"/>
          <w:szCs w:val="32"/>
          <w:highlight w:val="none"/>
          <w:lang w:val="en-US" w:eastAsia="zh-CN"/>
        </w:rPr>
        <w:t>年初预算数为0 元，支出决算数16,700,000.00元。决算数大于预算数的主要原因:年初预算未安排中央及自治区项目资金。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24.农林水支出（类）农业（款）农业生产支持补贴（项）。</w:t>
      </w:r>
      <w:r>
        <w:rPr>
          <w:rFonts w:hint="eastAsia" w:ascii="仿宋_GB2312" w:hAnsi="仿宋_GB2312" w:eastAsia="仿宋_GB2312" w:cs="仿宋_GB2312"/>
          <w:b w:val="0"/>
          <w:bCs w:val="0"/>
          <w:sz w:val="32"/>
          <w:szCs w:val="32"/>
          <w:highlight w:val="none"/>
          <w:lang w:val="en-US" w:eastAsia="zh-CN"/>
        </w:rPr>
        <w:t>年初预算数为0 元，支出决算数12,493,990.00元。决算数大于预算数的主要原因:一是年初预算未安排中央及自治区项目资金；二是以前年度资金结转至2019年继续使用。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25.农林水支出（类）农业（款）农业组织化与产业化经营（项）。</w:t>
      </w:r>
      <w:r>
        <w:rPr>
          <w:rFonts w:hint="eastAsia" w:ascii="仿宋_GB2312" w:hAnsi="仿宋_GB2312" w:eastAsia="仿宋_GB2312" w:cs="仿宋_GB2312"/>
          <w:b w:val="0"/>
          <w:bCs w:val="0"/>
          <w:sz w:val="32"/>
          <w:szCs w:val="32"/>
          <w:highlight w:val="none"/>
          <w:lang w:val="en-US" w:eastAsia="zh-CN"/>
        </w:rPr>
        <w:t>年初预算数为0 元，支出决算数21,602,416.95元。决算数大于预算数的主要原因:一是年初预算未安排中央及自治区项目资金；二是以前年度资金结转至2019年继续使用。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lang w:val="en-US" w:eastAsia="zh-CN"/>
        </w:rPr>
      </w:pPr>
      <w:r>
        <w:rPr>
          <w:rFonts w:hint="eastAsia" w:ascii="仿宋_GB2312" w:hAnsi="仿宋_GB2312" w:eastAsia="仿宋_GB2312" w:cs="仿宋_GB2312"/>
          <w:b/>
          <w:bCs/>
          <w:sz w:val="32"/>
          <w:szCs w:val="32"/>
          <w:highlight w:val="none"/>
          <w:lang w:val="en-US" w:eastAsia="zh-CN"/>
        </w:rPr>
        <w:t>26.农林水支出（类）农业（款）农村公益事业（项）。</w:t>
      </w:r>
      <w:r>
        <w:rPr>
          <w:rFonts w:hint="eastAsia" w:ascii="仿宋_GB2312" w:hAnsi="仿宋_GB2312" w:eastAsia="仿宋_GB2312" w:cs="仿宋_GB2312"/>
          <w:b w:val="0"/>
          <w:bCs w:val="0"/>
          <w:sz w:val="32"/>
          <w:szCs w:val="32"/>
          <w:highlight w:val="none"/>
          <w:lang w:val="en-US" w:eastAsia="zh-CN"/>
        </w:rPr>
        <w:t>年初预算数为0 元，支出决算数340,000.00元。决算数大于预算数的主要原因:年初预算未安排中央及自治区项目资金。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lang w:val="en-US" w:eastAsia="zh-CN"/>
        </w:rPr>
      </w:pPr>
      <w:r>
        <w:rPr>
          <w:rFonts w:hint="eastAsia" w:ascii="仿宋_GB2312" w:hAnsi="仿宋_GB2312" w:eastAsia="仿宋_GB2312" w:cs="仿宋_GB2312"/>
          <w:b/>
          <w:bCs/>
          <w:sz w:val="32"/>
          <w:szCs w:val="32"/>
          <w:highlight w:val="none"/>
          <w:lang w:val="en-US" w:eastAsia="zh-CN"/>
        </w:rPr>
        <w:t>27.农林水支出（类）农业（款）农业资源保护修复与利用（项）。</w:t>
      </w:r>
      <w:r>
        <w:rPr>
          <w:rFonts w:hint="eastAsia" w:ascii="仿宋_GB2312" w:hAnsi="仿宋_GB2312" w:eastAsia="仿宋_GB2312" w:cs="仿宋_GB2312"/>
          <w:b w:val="0"/>
          <w:bCs w:val="0"/>
          <w:sz w:val="32"/>
          <w:szCs w:val="32"/>
          <w:highlight w:val="none"/>
          <w:lang w:val="en-US" w:eastAsia="zh-CN"/>
        </w:rPr>
        <w:t>年初预算数为0 元，支出决算数30,896,336.00元。决算数大于预算数的主要原因:一是年初预算未安排中央及自治区项目资金；二是以前年度资金结转至2019年继续使用。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lang w:val="en-US" w:eastAsia="zh-CN"/>
        </w:rPr>
      </w:pPr>
      <w:r>
        <w:rPr>
          <w:rFonts w:hint="eastAsia" w:ascii="仿宋_GB2312" w:hAnsi="仿宋_GB2312" w:eastAsia="仿宋_GB2312" w:cs="仿宋_GB2312"/>
          <w:b/>
          <w:bCs/>
          <w:sz w:val="32"/>
          <w:szCs w:val="32"/>
          <w:highlight w:val="none"/>
          <w:lang w:val="en-US" w:eastAsia="zh-CN"/>
        </w:rPr>
        <w:t>28.农林水支出（类）农业（款）其他农业支出（项）。</w:t>
      </w:r>
      <w:r>
        <w:rPr>
          <w:rFonts w:hint="eastAsia" w:ascii="仿宋_GB2312" w:hAnsi="仿宋_GB2312" w:eastAsia="仿宋_GB2312" w:cs="仿宋_GB2312"/>
          <w:b w:val="0"/>
          <w:bCs w:val="0"/>
          <w:sz w:val="32"/>
          <w:szCs w:val="32"/>
          <w:highlight w:val="none"/>
          <w:lang w:val="en-US" w:eastAsia="zh-CN"/>
        </w:rPr>
        <w:t>年初预算数为0.00元，支出决算数72,537,673.97元。决算数大于预算数的主要原因:一是年初预算未安排中央及自治区项目资金；二是以前年度资金结转至2019年继续使用。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lang w:val="en-US" w:eastAsia="zh-CN"/>
        </w:rPr>
      </w:pPr>
      <w:r>
        <w:rPr>
          <w:rFonts w:hint="eastAsia" w:ascii="仿宋_GB2312" w:hAnsi="仿宋_GB2312" w:eastAsia="仿宋_GB2312" w:cs="仿宋_GB2312"/>
          <w:b/>
          <w:bCs/>
          <w:sz w:val="32"/>
          <w:szCs w:val="32"/>
          <w:highlight w:val="none"/>
          <w:lang w:val="en-US" w:eastAsia="zh-CN"/>
        </w:rPr>
        <w:t>29.农林水支出（类）林业和草原（款）森林培育（项）。</w:t>
      </w:r>
      <w:r>
        <w:rPr>
          <w:rFonts w:hint="eastAsia" w:ascii="仿宋_GB2312" w:hAnsi="仿宋_GB2312" w:eastAsia="仿宋_GB2312" w:cs="仿宋_GB2312"/>
          <w:b w:val="0"/>
          <w:bCs w:val="0"/>
          <w:sz w:val="32"/>
          <w:szCs w:val="32"/>
          <w:highlight w:val="none"/>
          <w:lang w:val="en-US" w:eastAsia="zh-CN"/>
        </w:rPr>
        <w:t>年初预算数为0 元，支出决算数1,928,560.00元。决算数大于预算数的主要原因:以前年度资金结转至2019年继续使用。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30.农林水支出（类）林业和草原（款）自然保护区等管理（项）。</w:t>
      </w:r>
      <w:r>
        <w:rPr>
          <w:rFonts w:hint="eastAsia" w:ascii="仿宋_GB2312" w:hAnsi="仿宋_GB2312" w:eastAsia="仿宋_GB2312" w:cs="仿宋_GB2312"/>
          <w:b w:val="0"/>
          <w:bCs w:val="0"/>
          <w:sz w:val="32"/>
          <w:szCs w:val="32"/>
          <w:highlight w:val="none"/>
          <w:lang w:val="en-US" w:eastAsia="zh-CN"/>
        </w:rPr>
        <w:t>年初预算数为0 元，支出决算数19,800.00元。决算数大于预算数的主要原因:年初预算未安排相关资金。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lang w:val="en-US" w:eastAsia="zh-CN"/>
        </w:rPr>
      </w:pPr>
      <w:r>
        <w:rPr>
          <w:rFonts w:hint="eastAsia" w:ascii="仿宋_GB2312" w:hAnsi="仿宋_GB2312" w:eastAsia="仿宋_GB2312" w:cs="仿宋_GB2312"/>
          <w:b/>
          <w:bCs/>
          <w:sz w:val="32"/>
          <w:szCs w:val="32"/>
          <w:highlight w:val="none"/>
          <w:lang w:val="en-US" w:eastAsia="zh-CN"/>
        </w:rPr>
        <w:t>31.农林水支出（类）林业和草原（款）产业化管理（项）。</w:t>
      </w:r>
      <w:r>
        <w:rPr>
          <w:rFonts w:hint="eastAsia" w:ascii="仿宋_GB2312" w:hAnsi="仿宋_GB2312" w:eastAsia="仿宋_GB2312" w:cs="仿宋_GB2312"/>
          <w:b w:val="0"/>
          <w:bCs w:val="0"/>
          <w:sz w:val="32"/>
          <w:szCs w:val="32"/>
          <w:highlight w:val="none"/>
          <w:lang w:val="en-US" w:eastAsia="zh-CN"/>
        </w:rPr>
        <w:t>年初预算数为0 元，支出决算数529,477.72元。决算数大于预算数的主要原因:以前年度资金结转至2019年继续使用。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32.农林水支出（类）林业和草原（款）信息管理（项）。</w:t>
      </w:r>
      <w:r>
        <w:rPr>
          <w:rFonts w:hint="eastAsia" w:ascii="仿宋_GB2312" w:hAnsi="仿宋_GB2312" w:eastAsia="仿宋_GB2312" w:cs="仿宋_GB2312"/>
          <w:b w:val="0"/>
          <w:bCs w:val="0"/>
          <w:sz w:val="32"/>
          <w:szCs w:val="32"/>
          <w:highlight w:val="none"/>
          <w:lang w:val="en-US" w:eastAsia="zh-CN"/>
        </w:rPr>
        <w:t>年初预算数为0 元，支出决算数63,868.00元。决算数大于预算数的主要原因:年初预算未安排中央及自治区项目资金。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33.农林水支出（类）林业和草原（款） 行业业务管理（项）。</w:t>
      </w:r>
      <w:r>
        <w:rPr>
          <w:rFonts w:hint="eastAsia" w:ascii="仿宋_GB2312" w:hAnsi="仿宋_GB2312" w:eastAsia="仿宋_GB2312" w:cs="仿宋_GB2312"/>
          <w:b w:val="0"/>
          <w:bCs w:val="0"/>
          <w:sz w:val="32"/>
          <w:szCs w:val="32"/>
          <w:highlight w:val="none"/>
          <w:lang w:val="en-US" w:eastAsia="zh-CN"/>
        </w:rPr>
        <w:t>年初预算数为0 元，支出决算数46,000.00元。决算数大于预算数的主要原因:年初预算未安排中央及自治区项目资金。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34.农林水支出（类）水利（款）农田水利（项）。</w:t>
      </w:r>
      <w:r>
        <w:rPr>
          <w:rFonts w:hint="eastAsia" w:ascii="仿宋_GB2312" w:hAnsi="仿宋_GB2312" w:eastAsia="仿宋_GB2312" w:cs="仿宋_GB2312"/>
          <w:b w:val="0"/>
          <w:bCs w:val="0"/>
          <w:sz w:val="32"/>
          <w:szCs w:val="32"/>
          <w:highlight w:val="none"/>
          <w:lang w:val="en-US" w:eastAsia="zh-CN"/>
        </w:rPr>
        <w:t>年初预算数为0 元，支出决算数3,320.00元。决算数大于预算数的主要原因:以前年度资金结转至2019年继续使用。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35.农林水支出（类）普惠金融发展支出（款）农业保险保费补贴（项）。</w:t>
      </w:r>
      <w:r>
        <w:rPr>
          <w:rFonts w:hint="eastAsia" w:ascii="仿宋_GB2312" w:hAnsi="仿宋_GB2312" w:eastAsia="仿宋_GB2312" w:cs="仿宋_GB2312"/>
          <w:b w:val="0"/>
          <w:bCs w:val="0"/>
          <w:sz w:val="32"/>
          <w:szCs w:val="32"/>
          <w:highlight w:val="none"/>
          <w:lang w:val="en-US" w:eastAsia="zh-CN"/>
        </w:rPr>
        <w:t>年初预算数为0元，支出决算数3,177,836.00元。决算数大于预算数的主要原因:年初预算未安排相关资金，年中追加指标。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36.农林水支出（类）其他农林水支出（款）其他农林水支出（项）。</w:t>
      </w:r>
      <w:r>
        <w:rPr>
          <w:rFonts w:hint="eastAsia" w:ascii="仿宋_GB2312" w:hAnsi="仿宋_GB2312" w:eastAsia="仿宋_GB2312" w:cs="仿宋_GB2312"/>
          <w:b w:val="0"/>
          <w:bCs w:val="0"/>
          <w:sz w:val="32"/>
          <w:szCs w:val="32"/>
          <w:highlight w:val="none"/>
          <w:lang w:val="en-US" w:eastAsia="zh-CN"/>
        </w:rPr>
        <w:t>年初预算数为0，支出决算数12,319,740.00元。决算数大于预算数的主要原因:年初预算未安排中央及自治区项目资金。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37.住房保障支出（类）住房改革支出（款） 住房公积金（项）。</w:t>
      </w:r>
      <w:r>
        <w:rPr>
          <w:rFonts w:hint="eastAsia" w:ascii="仿宋_GB2312" w:hAnsi="仿宋_GB2312" w:eastAsia="仿宋_GB2312" w:cs="仿宋_GB2312"/>
          <w:b w:val="0"/>
          <w:bCs w:val="0"/>
          <w:sz w:val="32"/>
          <w:szCs w:val="32"/>
          <w:highlight w:val="none"/>
          <w:lang w:val="en-US" w:eastAsia="zh-CN"/>
        </w:rPr>
        <w:t>年初预算数为128,102.10元，支出决算数77,400.00 元，完成年初预算的165.51%。决算数大于预算数的主要原因:2019年将政府效能奖、未休年休假补贴和民族团结奖等项目纳入住房公积金缴费基础。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3" w:firstLineChars="200"/>
        <w:textAlignment w:val="auto"/>
        <w:rPr>
          <w:rFonts w:hint="default"/>
        </w:rPr>
      </w:pPr>
      <w:r>
        <w:rPr>
          <w:rFonts w:hint="eastAsia" w:ascii="仿宋_GB2312" w:hAnsi="仿宋_GB2312" w:eastAsia="仿宋_GB2312" w:cs="仿宋_GB2312"/>
          <w:b/>
          <w:bCs/>
          <w:sz w:val="32"/>
          <w:szCs w:val="32"/>
          <w:highlight w:val="none"/>
          <w:lang w:val="en-US" w:eastAsia="zh-CN"/>
        </w:rPr>
        <w:t>38.粮油物资储备支出（类）粮油储备（款）储备粮油补贴（项）。</w:t>
      </w:r>
      <w:r>
        <w:rPr>
          <w:rFonts w:hint="eastAsia" w:ascii="仿宋_GB2312" w:hAnsi="仿宋_GB2312" w:eastAsia="仿宋_GB2312" w:cs="仿宋_GB2312"/>
          <w:b w:val="0"/>
          <w:bCs w:val="0"/>
          <w:sz w:val="32"/>
          <w:szCs w:val="32"/>
          <w:highlight w:val="none"/>
          <w:lang w:val="en-US" w:eastAsia="zh-CN"/>
        </w:rPr>
        <w:t>年初预算数为0 元，支出决算数445,683.00元。决算数大于预算数的主要原因:年初预算未安排相关资金，年中追加指标。</w:t>
      </w:r>
    </w:p>
    <w:p>
      <w:pPr>
        <w:wordWrap/>
        <w:snapToGrid/>
        <w:spacing w:line="560" w:lineRule="exact"/>
        <w:ind w:right="0" w:firstLine="0" w:firstLineChars="0"/>
        <w:textAlignment w:val="auto"/>
        <w:outlineLvl w:val="1"/>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color w:val="auto"/>
          <w:kern w:val="0"/>
          <w:sz w:val="32"/>
          <w:szCs w:val="32"/>
        </w:rPr>
        <w:t>六、一般公共预算财政拨款基本支出决算情况说明</w:t>
      </w:r>
    </w:p>
    <w:p>
      <w:pPr>
        <w:pStyle w:val="7"/>
        <w:wordWrap/>
        <w:snapToGrid/>
        <w:spacing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 xml:space="preserve">年度一般公共预算财政拨款基本支出1,525,596.61元，其中：人员经费1,378,873.18元，公用经费146,723.43元。支出具体情况如下： </w:t>
      </w:r>
    </w:p>
    <w:p>
      <w:pPr>
        <w:pStyle w:val="7"/>
        <w:numPr>
          <w:ilvl w:val="0"/>
          <w:numId w:val="0"/>
        </w:numPr>
        <w:wordWrap/>
        <w:snapToGrid/>
        <w:spacing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1.工资福利支出1,372,873.18元，较201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90573.18万</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7.06</w:t>
      </w:r>
      <w:r>
        <w:rPr>
          <w:rFonts w:hint="default" w:ascii="Times New Roman" w:hAnsi="Times New Roman" w:eastAsia="仿宋_GB2312" w:cs="Times New Roman"/>
          <w:color w:val="auto"/>
          <w:sz w:val="32"/>
          <w:szCs w:val="32"/>
        </w:rPr>
        <w:t>%，主要原因</w:t>
      </w:r>
      <w:r>
        <w:rPr>
          <w:rFonts w:hint="eastAsia"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rPr>
        <w:t>是2019年将政府效能奖、未休年休假补贴和民族团结奖等项目纳入住房公积金缴费基础</w:t>
      </w:r>
      <w:r>
        <w:rPr>
          <w:rFonts w:hint="eastAsia" w:ascii="Times New Roman" w:hAnsi="Times New Roman" w:eastAsia="仿宋_GB2312" w:cs="Times New Roman"/>
          <w:color w:val="auto"/>
          <w:sz w:val="32"/>
          <w:szCs w:val="32"/>
          <w:lang w:eastAsia="zh-CN"/>
        </w:rPr>
        <w:t>；二是晋级增资</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198,891.18</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16.94</w:t>
      </w:r>
      <w:r>
        <w:rPr>
          <w:rFonts w:hint="default" w:ascii="Times New Roman" w:hAnsi="Times New Roman" w:eastAsia="仿宋_GB2312" w:cs="Times New Roman"/>
          <w:color w:val="auto"/>
          <w:sz w:val="32"/>
          <w:szCs w:val="32"/>
        </w:rPr>
        <w:t>%。</w:t>
      </w:r>
    </w:p>
    <w:p>
      <w:pPr>
        <w:pStyle w:val="7"/>
        <w:wordWrap/>
        <w:snapToGrid/>
        <w:spacing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2.商品和服务支出146,723.43元，较201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年度年初预算数减少</w:t>
      </w:r>
      <w:r>
        <w:rPr>
          <w:rFonts w:hint="eastAsia" w:ascii="Times New Roman" w:hAnsi="Times New Roman" w:eastAsia="仿宋_GB2312" w:cs="Times New Roman"/>
          <w:color w:val="auto"/>
          <w:sz w:val="32"/>
          <w:szCs w:val="32"/>
          <w:lang w:val="en-US" w:eastAsia="zh-CN"/>
        </w:rPr>
        <w:t>576.57</w:t>
      </w:r>
      <w:r>
        <w:rPr>
          <w:rFonts w:hint="default" w:ascii="Times New Roman" w:hAnsi="Times New Roman" w:eastAsia="仿宋_GB2312" w:cs="Times New Roman"/>
          <w:color w:val="auto"/>
          <w:sz w:val="32"/>
          <w:szCs w:val="32"/>
        </w:rPr>
        <w:t>元，降低</w:t>
      </w:r>
      <w:r>
        <w:rPr>
          <w:rFonts w:hint="eastAsia" w:ascii="Times New Roman" w:hAnsi="Times New Roman" w:eastAsia="仿宋_GB2312" w:cs="Times New Roman"/>
          <w:color w:val="auto"/>
          <w:sz w:val="32"/>
          <w:szCs w:val="32"/>
          <w:lang w:val="en-US" w:eastAsia="zh-CN"/>
        </w:rPr>
        <w:t>0.39</w:t>
      </w:r>
      <w:r>
        <w:rPr>
          <w:rFonts w:hint="default" w:ascii="Times New Roman" w:hAnsi="Times New Roman" w:eastAsia="仿宋_GB2312" w:cs="Times New Roman"/>
          <w:color w:val="auto"/>
          <w:sz w:val="32"/>
          <w:szCs w:val="32"/>
        </w:rPr>
        <w:t>%，主要原因</w:t>
      </w:r>
      <w:r>
        <w:rPr>
          <w:rFonts w:hint="eastAsia" w:ascii="Times New Roman" w:hAnsi="Times New Roman" w:eastAsia="仿宋_GB2312" w:cs="Times New Roman"/>
          <w:color w:val="auto"/>
          <w:sz w:val="32"/>
          <w:szCs w:val="32"/>
          <w:lang w:eastAsia="zh-CN"/>
        </w:rPr>
        <w:t>厉行节约办公经费</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决算数减少</w:t>
      </w:r>
      <w:r>
        <w:rPr>
          <w:rFonts w:hint="eastAsia" w:ascii="Times New Roman" w:hAnsi="Times New Roman" w:eastAsia="仿宋_GB2312" w:cs="Times New Roman"/>
          <w:color w:val="auto"/>
          <w:sz w:val="32"/>
          <w:szCs w:val="32"/>
          <w:lang w:val="en-US" w:eastAsia="zh-CN"/>
        </w:rPr>
        <w:t>27,533.50</w:t>
      </w:r>
      <w:r>
        <w:rPr>
          <w:rFonts w:hint="default" w:ascii="Times New Roman" w:hAnsi="Times New Roman" w:eastAsia="仿宋_GB2312" w:cs="Times New Roman"/>
          <w:color w:val="auto"/>
          <w:sz w:val="32"/>
          <w:szCs w:val="32"/>
        </w:rPr>
        <w:t>元，降低</w:t>
      </w:r>
      <w:r>
        <w:rPr>
          <w:rFonts w:hint="eastAsia" w:ascii="Times New Roman" w:hAnsi="Times New Roman" w:eastAsia="仿宋_GB2312" w:cs="Times New Roman"/>
          <w:color w:val="auto"/>
          <w:sz w:val="32"/>
          <w:szCs w:val="32"/>
          <w:lang w:val="en-US" w:eastAsia="zh-CN"/>
        </w:rPr>
        <w:t>15.80</w:t>
      </w:r>
      <w:r>
        <w:rPr>
          <w:rFonts w:hint="default" w:ascii="Times New Roman" w:hAnsi="Times New Roman" w:eastAsia="仿宋_GB2312" w:cs="Times New Roman"/>
          <w:color w:val="auto"/>
          <w:sz w:val="32"/>
          <w:szCs w:val="32"/>
        </w:rPr>
        <w:t>%。</w:t>
      </w:r>
    </w:p>
    <w:p>
      <w:pPr>
        <w:pStyle w:val="7"/>
        <w:wordWrap/>
        <w:snapToGrid/>
        <w:spacing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3.对个人和家庭的补助6,000.00元，较201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年度年初预算数增加6,000.00元，增长</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eastAsia="zh-CN"/>
        </w:rPr>
        <w:t>新增退休人员，退休费增加</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8年度</w:t>
      </w:r>
      <w:r>
        <w:rPr>
          <w:rFonts w:hint="default" w:ascii="Times New Roman" w:hAnsi="Times New Roman" w:eastAsia="仿宋_GB2312" w:cs="Times New Roman"/>
          <w:color w:val="auto"/>
          <w:sz w:val="32"/>
          <w:szCs w:val="32"/>
        </w:rPr>
        <w:t>决算数</w:t>
      </w:r>
      <w:r>
        <w:rPr>
          <w:rFonts w:hint="eastAsia" w:ascii="Times New Roman" w:hAnsi="Times New Roman" w:eastAsia="仿宋_GB2312" w:cs="Times New Roman"/>
          <w:color w:val="auto"/>
          <w:sz w:val="32"/>
          <w:szCs w:val="32"/>
          <w:lang w:eastAsia="zh-CN"/>
        </w:rPr>
        <w:t>增加</w:t>
      </w:r>
      <w:r>
        <w:rPr>
          <w:rFonts w:hint="default" w:ascii="Times New Roman" w:hAnsi="Times New Roman" w:eastAsia="仿宋_GB2312" w:cs="Times New Roman"/>
          <w:color w:val="auto"/>
          <w:sz w:val="32"/>
          <w:szCs w:val="32"/>
        </w:rPr>
        <w:t>6,000.00元，</w:t>
      </w:r>
      <w:r>
        <w:rPr>
          <w:rFonts w:hint="eastAsia" w:ascii="Times New Roman" w:hAnsi="Times New Roman" w:eastAsia="仿宋_GB2312" w:cs="Times New Roman"/>
          <w:color w:val="auto"/>
          <w:sz w:val="32"/>
          <w:szCs w:val="32"/>
          <w:lang w:eastAsia="zh-CN"/>
        </w:rPr>
        <w:t>增加</w:t>
      </w:r>
      <w:r>
        <w:rPr>
          <w:rFonts w:hint="eastAsia"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p>
    <w:p>
      <w:pPr>
        <w:pStyle w:val="7"/>
        <w:wordWrap/>
        <w:snapToGrid/>
        <w:spacing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4.资本性支出</w:t>
      </w:r>
      <w:r>
        <w:rPr>
          <w:rFonts w:hint="default" w:ascii="Times New Roman" w:hAnsi="Times New Roman" w:eastAsia="仿宋_GB2312" w:cs="Times New Roman"/>
          <w:sz w:val="32"/>
          <w:szCs w:val="32"/>
          <w:lang w:eastAsia="zh-CN"/>
        </w:rPr>
        <w:t>（基本建设）</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%；主要原因</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8年度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pStyle w:val="7"/>
        <w:wordWrap/>
        <w:snapToGrid/>
        <w:spacing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.资本性支出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%；主要原因</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8年度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pStyle w:val="7"/>
        <w:wordWrap/>
        <w:snapToGrid/>
        <w:spacing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对企业补助（基本建设）</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%；主要原因</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8年度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pStyle w:val="7"/>
        <w:wordWrap/>
        <w:snapToGrid/>
        <w:spacing w:line="560" w:lineRule="exact"/>
        <w:ind w:right="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对企业补助</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年度年初预算数增加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%；主要原因</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rPr>
        <w:t>；较201</w:t>
      </w:r>
      <w:r>
        <w:rPr>
          <w:rFonts w:hint="default" w:ascii="Times New Roman" w:hAnsi="Times New Roman" w:eastAsia="仿宋_GB2312" w:cs="Times New Roman"/>
          <w:color w:val="auto"/>
          <w:sz w:val="32"/>
          <w:szCs w:val="32"/>
          <w:lang w:val="en-US" w:eastAsia="zh-CN"/>
        </w:rPr>
        <w:t>8年度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p>
    <w:p>
      <w:pPr>
        <w:pStyle w:val="7"/>
        <w:wordWrap/>
        <w:snapToGrid/>
        <w:spacing w:line="560" w:lineRule="exact"/>
        <w:ind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8.其他支出</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元，较2019年度年初预算数增加</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元，增长</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%；主要原因</w:t>
      </w:r>
      <w:r>
        <w:rPr>
          <w:rFonts w:hint="eastAsia"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lang w:val="en-US" w:eastAsia="zh-CN"/>
        </w:rPr>
        <w:t>；较2018年度决算数增加</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元，增长</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firstLine="643" w:firstLineChars="200"/>
        <w:textAlignment w:val="auto"/>
        <w:outlineLvl w:val="1"/>
        <w:rPr>
          <w:rFonts w:hint="default" w:ascii="Times New Roman" w:hAnsi="Times New Roman" w:eastAsia="楷体_GB2312" w:cs="Times New Roman"/>
          <w:b/>
          <w:bCs/>
          <w:kern w:val="0"/>
          <w:sz w:val="32"/>
          <w:szCs w:val="32"/>
          <w:lang w:val="en-US" w:eastAsia="zh-CN"/>
        </w:rPr>
      </w:pPr>
      <w:r>
        <w:rPr>
          <w:rFonts w:hint="default" w:ascii="Times New Roman" w:hAnsi="Times New Roman" w:eastAsia="楷体_GB2312" w:cs="Times New Roman"/>
          <w:b/>
          <w:bCs/>
          <w:kern w:val="0"/>
          <w:sz w:val="32"/>
          <w:szCs w:val="32"/>
          <w:lang w:val="en-US" w:eastAsia="zh-CN"/>
        </w:rPr>
        <w:t xml:space="preserve"> 七、一般公共预算财政拨款“三公”经费支出决算情况说明</w:t>
      </w:r>
    </w:p>
    <w:p>
      <w:pPr>
        <w:wordWrap/>
        <w:autoSpaceDE w:val="0"/>
        <w:autoSpaceDN w:val="0"/>
        <w:adjustRightInd w:val="0"/>
        <w:snapToGrid/>
        <w:spacing w:line="560" w:lineRule="exact"/>
        <w:ind w:left="477" w:leftChars="227" w:right="0" w:firstLine="154" w:firstLineChars="48"/>
        <w:jc w:val="left"/>
        <w:textAlignment w:val="auto"/>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（一）“三公”经费</w:t>
      </w:r>
      <w:r>
        <w:rPr>
          <w:rFonts w:hint="default" w:ascii="Times New Roman" w:hAnsi="Times New Roman" w:eastAsia="仿宋_GB2312" w:cs="Times New Roman"/>
          <w:b/>
          <w:kern w:val="0"/>
          <w:sz w:val="32"/>
          <w:szCs w:val="32"/>
          <w:lang w:eastAsia="zh-CN"/>
        </w:rPr>
        <w:t>一般公共预算</w:t>
      </w:r>
      <w:r>
        <w:rPr>
          <w:rFonts w:hint="default" w:ascii="Times New Roman" w:hAnsi="Times New Roman" w:eastAsia="仿宋_GB2312" w:cs="Times New Roman"/>
          <w:b/>
          <w:kern w:val="0"/>
          <w:sz w:val="32"/>
          <w:szCs w:val="32"/>
        </w:rPr>
        <w:t>财政拨款支出决算</w:t>
      </w:r>
    </w:p>
    <w:p>
      <w:pPr>
        <w:wordWrap/>
        <w:autoSpaceDE w:val="0"/>
        <w:autoSpaceDN w:val="0"/>
        <w:adjustRightInd w:val="0"/>
        <w:snapToGrid/>
        <w:spacing w:line="560" w:lineRule="exact"/>
        <w:ind w:left="0" w:leftChars="0" w:right="0" w:firstLine="151" w:firstLineChars="47"/>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lang w:eastAsia="zh-CN"/>
        </w:rPr>
        <w:t>总</w:t>
      </w:r>
      <w:r>
        <w:rPr>
          <w:rFonts w:hint="default" w:ascii="Times New Roman" w:hAnsi="Times New Roman" w:eastAsia="仿宋_GB2312" w:cs="Times New Roman"/>
          <w:b/>
          <w:kern w:val="0"/>
          <w:sz w:val="32"/>
          <w:szCs w:val="32"/>
        </w:rPr>
        <w:t>体情况说明</w:t>
      </w:r>
      <w:r>
        <w:rPr>
          <w:rFonts w:hint="default" w:ascii="Times New Roman" w:hAnsi="Times New Roman" w:eastAsia="仿宋_GB2312" w:cs="Times New Roman"/>
          <w:b/>
          <w:kern w:val="0"/>
          <w:sz w:val="32"/>
          <w:szCs w:val="32"/>
          <w:lang w:eastAsia="zh-CN"/>
        </w:rPr>
        <w:t>。</w:t>
      </w: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年度“三公”经费</w:t>
      </w:r>
      <w:r>
        <w:rPr>
          <w:rFonts w:hint="default" w:ascii="Times New Roman" w:hAnsi="Times New Roman" w:eastAsia="仿宋_GB2312" w:cs="Times New Roman"/>
          <w:kern w:val="0"/>
          <w:sz w:val="32"/>
          <w:szCs w:val="32"/>
          <w:lang w:eastAsia="zh-CN"/>
        </w:rPr>
        <w:t>一般公共预算</w:t>
      </w:r>
      <w:r>
        <w:rPr>
          <w:rFonts w:hint="default" w:ascii="Times New Roman" w:hAnsi="Times New Roman" w:eastAsia="仿宋_GB2312" w:cs="Times New Roman"/>
          <w:kern w:val="0"/>
          <w:sz w:val="32"/>
          <w:szCs w:val="32"/>
        </w:rPr>
        <w:t>财政拨款支出预算为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年度“三公”经费支出决算数小于（大于）预算数的主要原因：</w:t>
      </w:r>
      <w:r>
        <w:rPr>
          <w:rFonts w:hint="eastAsia" w:ascii="Times New Roman" w:hAnsi="Times New Roman" w:eastAsia="仿宋_GB2312" w:cs="Times New Roman"/>
          <w:kern w:val="0"/>
          <w:sz w:val="32"/>
          <w:szCs w:val="32"/>
          <w:lang w:eastAsia="zh-CN"/>
        </w:rPr>
        <w:t>无</w:t>
      </w:r>
      <w:r>
        <w:rPr>
          <w:rFonts w:hint="default" w:ascii="Times New Roman" w:hAnsi="Times New Roman" w:eastAsia="仿宋_GB2312" w:cs="Times New Roman"/>
          <w:kern w:val="0"/>
          <w:sz w:val="32"/>
          <w:szCs w:val="32"/>
        </w:rPr>
        <w:t>。</w:t>
      </w:r>
    </w:p>
    <w:p>
      <w:pPr>
        <w:wordWrap/>
        <w:autoSpaceDE w:val="0"/>
        <w:autoSpaceDN w:val="0"/>
        <w:adjustRightInd w:val="0"/>
        <w:snapToGrid/>
        <w:spacing w:line="560" w:lineRule="exact"/>
        <w:ind w:right="0" w:firstLine="656" w:firstLineChars="205"/>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年度“三公”经费</w:t>
      </w:r>
      <w:r>
        <w:rPr>
          <w:rFonts w:hint="default" w:ascii="Times New Roman" w:hAnsi="Times New Roman" w:eastAsia="仿宋_GB2312" w:cs="Times New Roman"/>
          <w:kern w:val="0"/>
          <w:sz w:val="32"/>
          <w:szCs w:val="32"/>
          <w:lang w:eastAsia="zh-CN"/>
        </w:rPr>
        <w:t>一般公共预算</w:t>
      </w:r>
      <w:r>
        <w:rPr>
          <w:rFonts w:hint="default" w:ascii="Times New Roman" w:hAnsi="Times New Roman" w:eastAsia="仿宋_GB2312" w:cs="Times New Roman"/>
          <w:kern w:val="0"/>
          <w:sz w:val="32"/>
          <w:szCs w:val="32"/>
        </w:rPr>
        <w:t>财政拨款支出决算数比201</w:t>
      </w:r>
      <w:r>
        <w:rPr>
          <w:rFonts w:hint="default" w:ascii="Times New Roman" w:hAnsi="Times New Roman" w:eastAsia="仿宋_GB2312" w:cs="Times New Roman"/>
          <w:kern w:val="0"/>
          <w:sz w:val="32"/>
          <w:szCs w:val="32"/>
          <w:lang w:val="en-US" w:eastAsia="zh-CN"/>
        </w:rPr>
        <w:t>8年度</w:t>
      </w:r>
      <w:r>
        <w:rPr>
          <w:rFonts w:hint="default" w:ascii="Times New Roman" w:hAnsi="Times New Roman" w:eastAsia="仿宋_GB2312" w:cs="Times New Roman"/>
          <w:kern w:val="0"/>
          <w:sz w:val="32"/>
          <w:szCs w:val="32"/>
        </w:rPr>
        <w:t>减少（增加）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元，下降（增长）</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%，其中：因公出国（境）费支出决算减少（增加）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元，下降（增长）</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%；公务用车购置及运行费支出决算减少（增加）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元，下降（增长）</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%；公务接待费支出决算减少（增加）</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元，下降（增长）</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%；因公出国（境）费支出减少（增加）的主要原因是</w:t>
      </w:r>
      <w:r>
        <w:rPr>
          <w:rFonts w:hint="eastAsia" w:ascii="Times New Roman" w:hAnsi="Times New Roman" w:eastAsia="仿宋_GB2312" w:cs="Times New Roman"/>
          <w:kern w:val="0"/>
          <w:sz w:val="32"/>
          <w:szCs w:val="32"/>
          <w:lang w:eastAsia="zh-CN"/>
        </w:rPr>
        <w:t>无</w:t>
      </w:r>
      <w:r>
        <w:rPr>
          <w:rFonts w:hint="default" w:ascii="Times New Roman" w:hAnsi="Times New Roman" w:eastAsia="仿宋_GB2312" w:cs="Times New Roman"/>
          <w:kern w:val="0"/>
          <w:sz w:val="32"/>
          <w:szCs w:val="32"/>
        </w:rPr>
        <w:t>；公务用车购置及运行费支出减少（增加）的主要原因是</w:t>
      </w:r>
      <w:r>
        <w:rPr>
          <w:rFonts w:hint="eastAsia" w:ascii="Times New Roman" w:hAnsi="Times New Roman" w:eastAsia="仿宋_GB2312" w:cs="Times New Roman"/>
          <w:kern w:val="0"/>
          <w:sz w:val="32"/>
          <w:szCs w:val="32"/>
          <w:lang w:eastAsia="zh-CN"/>
        </w:rPr>
        <w:t>无</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公务接待费支出减少（增加）</w:t>
      </w:r>
      <w:r>
        <w:rPr>
          <w:rFonts w:hint="default" w:ascii="Times New Roman" w:hAnsi="Times New Roman" w:eastAsia="仿宋_GB2312" w:cs="Times New Roman"/>
          <w:kern w:val="0"/>
          <w:sz w:val="32"/>
          <w:szCs w:val="32"/>
          <w:lang w:eastAsia="zh-CN"/>
        </w:rPr>
        <w:t>的主要原因是</w:t>
      </w:r>
      <w:r>
        <w:rPr>
          <w:rFonts w:hint="eastAsia" w:ascii="Times New Roman" w:hAnsi="Times New Roman" w:eastAsia="仿宋_GB2312" w:cs="Times New Roman"/>
          <w:kern w:val="0"/>
          <w:sz w:val="32"/>
          <w:szCs w:val="32"/>
          <w:lang w:eastAsia="zh-CN"/>
        </w:rPr>
        <w:t>无</w:t>
      </w:r>
      <w:r>
        <w:rPr>
          <w:rFonts w:hint="default" w:ascii="Times New Roman" w:hAnsi="Times New Roman" w:eastAsia="仿宋_GB2312" w:cs="Times New Roman"/>
          <w:kern w:val="0"/>
          <w:sz w:val="32"/>
          <w:szCs w:val="32"/>
        </w:rPr>
        <w:t>。</w:t>
      </w:r>
    </w:p>
    <w:p>
      <w:pPr>
        <w:pStyle w:val="7"/>
        <w:wordWrap/>
        <w:snapToGrid/>
        <w:spacing w:line="560" w:lineRule="exact"/>
        <w:ind w:right="0"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sz w:val="32"/>
          <w:szCs w:val="32"/>
        </w:rPr>
        <w:t>（二）“三公”经费</w:t>
      </w:r>
      <w:r>
        <w:rPr>
          <w:rFonts w:hint="default" w:ascii="Times New Roman" w:hAnsi="Times New Roman" w:eastAsia="仿宋_GB2312" w:cs="Times New Roman"/>
          <w:b/>
          <w:sz w:val="32"/>
          <w:szCs w:val="32"/>
          <w:lang w:eastAsia="zh-CN"/>
        </w:rPr>
        <w:t>一般公共预算</w:t>
      </w:r>
      <w:r>
        <w:rPr>
          <w:rFonts w:hint="default" w:ascii="Times New Roman" w:hAnsi="Times New Roman" w:eastAsia="仿宋_GB2312" w:cs="Times New Roman"/>
          <w:b/>
          <w:sz w:val="32"/>
          <w:szCs w:val="32"/>
        </w:rPr>
        <w:t>财政拨款支出决算具体情况说明。</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年度“三公”经费</w:t>
      </w:r>
      <w:r>
        <w:rPr>
          <w:rFonts w:hint="default" w:ascii="Times New Roman" w:hAnsi="Times New Roman" w:eastAsia="仿宋_GB2312" w:cs="Times New Roman"/>
          <w:color w:val="auto"/>
          <w:sz w:val="32"/>
          <w:szCs w:val="32"/>
          <w:lang w:eastAsia="zh-CN"/>
        </w:rPr>
        <w:t>一般公共预算</w:t>
      </w:r>
      <w:r>
        <w:rPr>
          <w:rFonts w:hint="default" w:ascii="Times New Roman" w:hAnsi="Times New Roman" w:eastAsia="仿宋_GB2312" w:cs="Times New Roman"/>
          <w:color w:val="auto"/>
          <w:sz w:val="32"/>
          <w:szCs w:val="32"/>
        </w:rPr>
        <w:t>财政拨款支出决算中，因公出国（境）费支出决算</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%；公务用车购置及运行费支出决</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%；公务接待费支出决算</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%。具体情况如下：</w:t>
      </w:r>
    </w:p>
    <w:p>
      <w:pPr>
        <w:pStyle w:val="7"/>
        <w:wordWrap/>
        <w:snapToGrid/>
        <w:spacing w:line="560" w:lineRule="exact"/>
        <w:ind w:right="0" w:firstLine="630" w:firstLineChars="196"/>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1.因公出国（境）费</w:t>
      </w:r>
      <w:r>
        <w:rPr>
          <w:rFonts w:hint="default" w:ascii="Times New Roman" w:hAnsi="Times New Roman" w:eastAsia="仿宋_GB2312" w:cs="Times New Roman"/>
          <w:b w:val="0"/>
          <w:bCs/>
          <w:color w:val="auto"/>
          <w:sz w:val="32"/>
          <w:szCs w:val="32"/>
          <w:lang w:eastAsia="zh-CN"/>
        </w:rPr>
        <w:t>预算为</w:t>
      </w:r>
      <w:r>
        <w:rPr>
          <w:rFonts w:hint="eastAsia"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rPr>
        <w:t>元</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kern w:val="0"/>
          <w:sz w:val="32"/>
          <w:szCs w:val="32"/>
        </w:rPr>
        <w:t>支出决算为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9年度</w:t>
      </w:r>
      <w:r>
        <w:rPr>
          <w:rFonts w:hint="default" w:ascii="Times New Roman" w:hAnsi="Times New Roman" w:eastAsia="仿宋_GB2312" w:cs="Times New Roman"/>
          <w:color w:val="auto"/>
          <w:sz w:val="32"/>
          <w:szCs w:val="32"/>
        </w:rPr>
        <w:t>因公出国（境）团组数</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个，因公出国（境）人次数</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人</w:t>
      </w:r>
      <w:r>
        <w:rPr>
          <w:rFonts w:hint="default" w:ascii="Times New Roman" w:hAnsi="Times New Roman" w:eastAsia="仿宋_GB2312" w:cs="Times New Roman"/>
          <w:color w:val="auto"/>
          <w:sz w:val="32"/>
          <w:szCs w:val="32"/>
          <w:lang w:eastAsia="zh-CN"/>
        </w:rPr>
        <w:t>次</w:t>
      </w:r>
      <w:r>
        <w:rPr>
          <w:rFonts w:hint="default" w:ascii="Times New Roman" w:hAnsi="Times New Roman" w:eastAsia="仿宋_GB2312" w:cs="Times New Roman"/>
          <w:color w:val="auto"/>
          <w:sz w:val="32"/>
          <w:szCs w:val="32"/>
        </w:rPr>
        <w:t>。开支内容包括：</w:t>
      </w:r>
      <w:r>
        <w:rPr>
          <w:rFonts w:hint="eastAsia" w:ascii="Times New Roman" w:hAnsi="Times New Roman" w:eastAsia="仿宋_GB2312" w:cs="Times New Roman"/>
          <w:color w:val="auto"/>
          <w:sz w:val="32"/>
          <w:szCs w:val="32"/>
          <w:lang w:eastAsia="zh-CN"/>
        </w:rPr>
        <w:t>无开支</w:t>
      </w:r>
      <w:r>
        <w:rPr>
          <w:rFonts w:hint="default" w:ascii="Times New Roman" w:hAnsi="Times New Roman" w:eastAsia="仿宋_GB2312" w:cs="Times New Roman"/>
          <w:color w:val="auto"/>
          <w:sz w:val="32"/>
          <w:szCs w:val="32"/>
        </w:rPr>
        <w:t xml:space="preserve">。 </w:t>
      </w:r>
    </w:p>
    <w:p>
      <w:pPr>
        <w:wordWrap/>
        <w:autoSpaceDE w:val="0"/>
        <w:autoSpaceDN w:val="0"/>
        <w:adjustRightInd w:val="0"/>
        <w:snapToGrid/>
        <w:spacing w:line="560" w:lineRule="exact"/>
        <w:ind w:right="0"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2.公务用车购置及运行维护费</w:t>
      </w:r>
      <w:r>
        <w:rPr>
          <w:rFonts w:hint="default" w:ascii="Times New Roman" w:hAnsi="Times New Roman" w:eastAsia="仿宋_GB2312" w:cs="Times New Roman"/>
          <w:kern w:val="0"/>
          <w:sz w:val="32"/>
          <w:szCs w:val="32"/>
          <w:lang w:eastAsia="zh-CN"/>
        </w:rPr>
        <w:t>预算为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元，支出决算为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
          <w:kern w:val="0"/>
          <w:sz w:val="32"/>
          <w:szCs w:val="32"/>
        </w:rPr>
        <w:t>。</w:t>
      </w:r>
      <w:r>
        <w:rPr>
          <w:rFonts w:hint="default" w:ascii="Times New Roman" w:hAnsi="Times New Roman" w:eastAsia="仿宋_GB2312" w:cs="Times New Roman"/>
          <w:kern w:val="0"/>
          <w:sz w:val="32"/>
          <w:szCs w:val="32"/>
        </w:rPr>
        <w:t>其中：公务用车购置费支出为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元，公务用车运行维护费支出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元，主要</w:t>
      </w:r>
      <w:r>
        <w:rPr>
          <w:rFonts w:hint="eastAsia" w:ascii="Times New Roman" w:hAnsi="Times New Roman" w:eastAsia="仿宋_GB2312" w:cs="Times New Roman"/>
          <w:kern w:val="0"/>
          <w:sz w:val="32"/>
          <w:szCs w:val="32"/>
          <w:lang w:eastAsia="zh-CN"/>
        </w:rPr>
        <w:t>本单位无公车</w:t>
      </w: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度一般公共预算</w:t>
      </w:r>
      <w:r>
        <w:rPr>
          <w:rFonts w:hint="default" w:ascii="Times New Roman" w:hAnsi="Times New Roman" w:eastAsia="仿宋_GB2312" w:cs="Times New Roman"/>
          <w:kern w:val="0"/>
          <w:sz w:val="32"/>
          <w:szCs w:val="32"/>
        </w:rPr>
        <w:t>财政拨款开支的公务用车购置数</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辆，公务用车保有量为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 xml:space="preserve">辆。 </w:t>
      </w:r>
    </w:p>
    <w:p>
      <w:pPr>
        <w:wordWrap/>
        <w:autoSpaceDE w:val="0"/>
        <w:autoSpaceDN w:val="0"/>
        <w:adjustRightInd w:val="0"/>
        <w:snapToGrid/>
        <w:spacing w:line="560" w:lineRule="exact"/>
        <w:ind w:right="0" w:firstLine="630" w:firstLineChars="196"/>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3.公务接待费</w:t>
      </w:r>
      <w:r>
        <w:rPr>
          <w:rFonts w:hint="default" w:ascii="Times New Roman" w:hAnsi="Times New Roman" w:eastAsia="仿宋_GB2312" w:cs="Times New Roman"/>
          <w:b w:val="0"/>
          <w:bCs/>
          <w:kern w:val="0"/>
          <w:sz w:val="32"/>
          <w:szCs w:val="32"/>
          <w:lang w:eastAsia="zh-CN"/>
        </w:rPr>
        <w:t>预算为</w:t>
      </w:r>
      <w:r>
        <w:rPr>
          <w:rFonts w:hint="eastAsia" w:ascii="Times New Roman" w:hAnsi="Times New Roman" w:eastAsia="仿宋_GB2312" w:cs="Times New Roman"/>
          <w:b w:val="0"/>
          <w:bCs/>
          <w:kern w:val="0"/>
          <w:sz w:val="32"/>
          <w:szCs w:val="32"/>
          <w:lang w:val="en-US" w:eastAsia="zh-CN"/>
        </w:rPr>
        <w:t>0</w:t>
      </w:r>
      <w:r>
        <w:rPr>
          <w:rFonts w:hint="default" w:ascii="Times New Roman" w:hAnsi="Times New Roman" w:eastAsia="仿宋_GB2312" w:cs="Times New Roman"/>
          <w:b w:val="0"/>
          <w:bCs/>
          <w:kern w:val="0"/>
          <w:sz w:val="32"/>
          <w:szCs w:val="32"/>
        </w:rPr>
        <w:t>元</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kern w:val="0"/>
          <w:sz w:val="32"/>
          <w:szCs w:val="32"/>
        </w:rPr>
        <w:t>支出决算为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元，完成预算的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%。其中：国内接待费支出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元，主要</w:t>
      </w:r>
      <w:r>
        <w:rPr>
          <w:rFonts w:hint="eastAsia" w:ascii="Times New Roman" w:hAnsi="Times New Roman" w:eastAsia="仿宋_GB2312" w:cs="Times New Roman"/>
          <w:kern w:val="0"/>
          <w:sz w:val="32"/>
          <w:szCs w:val="32"/>
          <w:lang w:eastAsia="zh-CN"/>
        </w:rPr>
        <w:t>原因无</w:t>
      </w:r>
      <w:r>
        <w:rPr>
          <w:rFonts w:hint="default" w:ascii="Times New Roman" w:hAnsi="Times New Roman" w:eastAsia="仿宋_GB2312" w:cs="Times New Roman"/>
          <w:kern w:val="0"/>
          <w:sz w:val="32"/>
          <w:szCs w:val="32"/>
        </w:rPr>
        <w:t>。国（境）外接待费支出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元，主要</w:t>
      </w:r>
      <w:r>
        <w:rPr>
          <w:rFonts w:hint="eastAsia" w:ascii="Times New Roman" w:hAnsi="Times New Roman" w:eastAsia="仿宋_GB2312" w:cs="Times New Roman"/>
          <w:kern w:val="0"/>
          <w:sz w:val="32"/>
          <w:szCs w:val="32"/>
          <w:lang w:eastAsia="zh-CN"/>
        </w:rPr>
        <w:t>原因无</w:t>
      </w: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国内公务接待批次</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个，国内公务接待人次</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人，国（境）外公务接待批次</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个，国（境）外公务接待人次</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人。</w:t>
      </w:r>
    </w:p>
    <w:p>
      <w:pPr>
        <w:wordWrap/>
        <w:snapToGrid/>
        <w:spacing w:line="560" w:lineRule="exact"/>
        <w:ind w:right="0" w:firstLine="0" w:firstLineChars="0"/>
        <w:textAlignment w:val="auto"/>
        <w:outlineLvl w:val="1"/>
        <w:rPr>
          <w:rFonts w:hint="default" w:ascii="Times New Roman" w:hAnsi="Times New Roman" w:eastAsia="楷体_GB2312" w:cs="Times New Roman"/>
          <w:b/>
          <w:bCs/>
          <w:kern w:val="0"/>
          <w:sz w:val="32"/>
          <w:szCs w:val="32"/>
        </w:rPr>
      </w:pPr>
      <w:r>
        <w:rPr>
          <w:rFonts w:hint="default" w:ascii="Times New Roman" w:hAnsi="Times New Roman" w:eastAsia="楷体_GB2312" w:cs="Times New Roman"/>
          <w:b/>
          <w:bCs/>
          <w:kern w:val="0"/>
          <w:sz w:val="32"/>
          <w:szCs w:val="32"/>
          <w:lang w:val="en-US" w:eastAsia="zh-CN"/>
        </w:rPr>
        <w:t xml:space="preserve">    </w:t>
      </w:r>
      <w:r>
        <w:rPr>
          <w:rFonts w:hint="default" w:ascii="Times New Roman" w:hAnsi="Times New Roman" w:eastAsia="楷体_GB2312" w:cs="Times New Roman"/>
          <w:b/>
          <w:bCs/>
          <w:kern w:val="0"/>
          <w:sz w:val="32"/>
          <w:szCs w:val="32"/>
        </w:rPr>
        <w:t>八、政府性基金预算财政拨款收入支出决算情况说明</w:t>
      </w:r>
    </w:p>
    <w:p>
      <w:pPr>
        <w:pStyle w:val="7"/>
        <w:wordWrap/>
        <w:snapToGrid/>
        <w:spacing w:line="560" w:lineRule="exact"/>
        <w:ind w:righ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年度政府性基金预算财政拨款本年收入</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元，本年支出</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元，年末结转和结余</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元。较201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度</w:t>
      </w:r>
      <w:r>
        <w:rPr>
          <w:rFonts w:hint="default" w:ascii="Times New Roman" w:hAnsi="Times New Roman" w:eastAsia="仿宋_GB2312" w:cs="Times New Roman"/>
          <w:color w:val="auto"/>
          <w:sz w:val="32"/>
          <w:szCs w:val="32"/>
        </w:rPr>
        <w:t>决算数增加</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元，增长</w:t>
      </w:r>
      <w:r>
        <w:rPr>
          <w:rFonts w:hint="eastAsia"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，主要原因</w:t>
      </w:r>
      <w:r>
        <w:rPr>
          <w:rFonts w:hint="eastAsia" w:ascii="Times New Roman" w:hAnsi="Times New Roman" w:eastAsia="仿宋_GB2312" w:cs="Times New Roman"/>
          <w:color w:val="auto"/>
          <w:sz w:val="32"/>
          <w:szCs w:val="32"/>
          <w:lang w:eastAsia="zh-CN"/>
        </w:rPr>
        <w:t>无</w:t>
      </w:r>
      <w:r>
        <w:rPr>
          <w:rFonts w:hint="default" w:ascii="Times New Roman" w:hAnsi="Times New Roman" w:eastAsia="仿宋_GB2312" w:cs="Times New Roman"/>
          <w:color w:val="auto"/>
          <w:sz w:val="32"/>
          <w:szCs w:val="32"/>
          <w:lang w:eastAsia="zh-CN"/>
        </w:rPr>
        <w:t>。</w:t>
      </w:r>
    </w:p>
    <w:p>
      <w:pPr>
        <w:pStyle w:val="7"/>
        <w:wordWrap/>
        <w:snapToGrid/>
        <w:spacing w:line="560" w:lineRule="exact"/>
        <w:ind w:right="0" w:firstLine="643" w:firstLineChars="200"/>
        <w:textAlignment w:val="auto"/>
        <w:rPr>
          <w:rFonts w:hint="default" w:ascii="Times New Roman" w:hAnsi="Times New Roman" w:cs="Times New Roman"/>
        </w:rPr>
      </w:pPr>
      <w:r>
        <w:rPr>
          <w:rFonts w:hint="default" w:ascii="Times New Roman" w:hAnsi="Times New Roman" w:eastAsia="楷体_GB2312" w:cs="Times New Roman"/>
          <w:b/>
          <w:bCs/>
          <w:kern w:val="0"/>
          <w:sz w:val="32"/>
          <w:szCs w:val="32"/>
          <w:lang w:val="en-US" w:eastAsia="zh-CN" w:bidi="ar-SA"/>
        </w:rPr>
        <w:t>九、其他重要事项的情况说明</w:t>
      </w:r>
    </w:p>
    <w:p>
      <w:pPr>
        <w:wordWrap/>
        <w:snapToGrid/>
        <w:spacing w:line="560" w:lineRule="exact"/>
        <w:ind w:right="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（一）机关运行经费支出情况说明</w:t>
      </w:r>
    </w:p>
    <w:p>
      <w:pPr>
        <w:wordWrap/>
        <w:snapToGrid/>
        <w:spacing w:line="560" w:lineRule="exact"/>
        <w:ind w:right="0" w:firstLine="640" w:firstLineChars="20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本部门机关运行经费支出146,723.43元</w:t>
      </w:r>
      <w:r>
        <w:rPr>
          <w:rFonts w:hint="default" w:ascii="Times New Roman" w:hAnsi="Times New Roman" w:eastAsia="仿宋_GB2312" w:cs="Times New Roman"/>
          <w:color w:val="000000"/>
          <w:sz w:val="30"/>
        </w:rPr>
        <w:t>，</w:t>
      </w:r>
      <w:r>
        <w:rPr>
          <w:rFonts w:hint="default" w:ascii="Times New Roman" w:hAnsi="Times New Roman" w:eastAsia="仿宋_GB2312" w:cs="Times New Roman"/>
          <w:kern w:val="0"/>
          <w:sz w:val="32"/>
          <w:szCs w:val="32"/>
        </w:rPr>
        <w:t>比201</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w:t>
      </w:r>
      <w:r>
        <w:rPr>
          <w:rFonts w:hint="default" w:ascii="Times New Roman" w:hAnsi="Times New Roman" w:eastAsia="仿宋_GB2312" w:cs="Times New Roman"/>
          <w:kern w:val="0"/>
          <w:sz w:val="32"/>
          <w:szCs w:val="32"/>
        </w:rPr>
        <w:t>减少27,533.50元，下降</w:t>
      </w:r>
      <w:r>
        <w:rPr>
          <w:rFonts w:hint="eastAsia" w:ascii="Times New Roman" w:hAnsi="Times New Roman" w:eastAsia="仿宋_GB2312" w:cs="Times New Roman"/>
          <w:kern w:val="0"/>
          <w:sz w:val="32"/>
          <w:szCs w:val="32"/>
          <w:lang w:val="en-US" w:eastAsia="zh-CN"/>
        </w:rPr>
        <w:t>15.80</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eastAsia="zh-CN"/>
        </w:rPr>
        <w:t>厉行节约办公经费</w:t>
      </w:r>
      <w:r>
        <w:rPr>
          <w:rFonts w:hint="default" w:ascii="Times New Roman" w:hAnsi="Times New Roman" w:eastAsia="仿宋_GB2312" w:cs="Times New Roman"/>
          <w:kern w:val="0"/>
          <w:sz w:val="32"/>
          <w:szCs w:val="32"/>
        </w:rPr>
        <w:t xml:space="preserve">。 </w:t>
      </w:r>
    </w:p>
    <w:p>
      <w:pPr>
        <w:wordWrap/>
        <w:snapToGrid/>
        <w:spacing w:line="560" w:lineRule="exact"/>
        <w:ind w:right="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（二）政府采购情况说明</w:t>
      </w:r>
    </w:p>
    <w:p>
      <w:pPr>
        <w:widowControl/>
        <w:wordWrap/>
        <w:snapToGrid/>
        <w:spacing w:line="560" w:lineRule="exact"/>
        <w:ind w:right="0"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度本部门</w:t>
      </w:r>
      <w:r>
        <w:rPr>
          <w:rFonts w:hint="default" w:ascii="Times New Roman" w:hAnsi="Times New Roman" w:eastAsia="仿宋_GB2312" w:cs="Times New Roman"/>
          <w:kern w:val="0"/>
          <w:sz w:val="32"/>
          <w:szCs w:val="32"/>
        </w:rPr>
        <w:t>政府采购支出总额</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其中：政府采购货物支出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政府采购工程支出</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政府采购服务</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授予中小企业合同金额</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，占政府采购支出总额的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，其中：授予小微企业合同金额</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元</w:t>
      </w:r>
      <w:r>
        <w:rPr>
          <w:rFonts w:hint="default" w:ascii="Times New Roman" w:hAnsi="Times New Roman" w:eastAsia="仿宋_GB2312" w:cs="Times New Roman"/>
          <w:kern w:val="0"/>
          <w:sz w:val="32"/>
          <w:szCs w:val="32"/>
          <w:lang w:eastAsia="zh-CN"/>
        </w:rPr>
        <w:t>，占政府采购支出总额的</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w:t>
      </w:r>
    </w:p>
    <w:p>
      <w:pPr>
        <w:wordWrap/>
        <w:snapToGrid/>
        <w:spacing w:line="560" w:lineRule="exact"/>
        <w:ind w:right="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（三）国有资产占有使用情况说明</w:t>
      </w:r>
    </w:p>
    <w:p>
      <w:pPr>
        <w:widowControl/>
        <w:wordWrap/>
        <w:snapToGrid/>
        <w:spacing w:line="560" w:lineRule="exact"/>
        <w:ind w:right="0" w:firstLine="480"/>
        <w:jc w:val="left"/>
        <w:textAlignment w:val="auto"/>
        <w:rPr>
          <w:rFonts w:hint="default"/>
        </w:rPr>
      </w:pPr>
      <w:r>
        <w:rPr>
          <w:rFonts w:hint="default" w:ascii="Times New Roman" w:hAnsi="Times New Roman" w:eastAsia="仿宋_GB2312" w:cs="Times New Roman"/>
          <w:kern w:val="0"/>
          <w:sz w:val="32"/>
          <w:szCs w:val="32"/>
        </w:rPr>
        <w:t>截至201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年12月31日，本部门房屋面积</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平方米，共有车辆</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辆，其中：领导干部用车</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辆、一般公务用车</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辆；单价50万元以上通用设备</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台（套），单价100万元以上专用设备</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w:t>
      </w:r>
    </w:p>
    <w:p>
      <w:pPr>
        <w:wordWrap/>
        <w:snapToGrid/>
        <w:spacing w:line="560" w:lineRule="exact"/>
        <w:ind w:right="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（四）预算绩效管理工作开展情况</w:t>
      </w:r>
      <w:r>
        <w:rPr>
          <w:rFonts w:hint="default" w:ascii="Times New Roman" w:hAnsi="Times New Roman" w:eastAsia="仿宋_GB2312" w:cs="Times New Roman"/>
          <w:b/>
          <w:kern w:val="0"/>
          <w:sz w:val="32"/>
          <w:szCs w:val="32"/>
          <w:lang w:eastAsia="zh-CN"/>
        </w:rPr>
        <w:t>说明</w:t>
      </w:r>
    </w:p>
    <w:p>
      <w:pPr>
        <w:wordWrap/>
        <w:snapToGrid/>
        <w:spacing w:line="560" w:lineRule="exact"/>
        <w:ind w:right="0" w:firstLine="643" w:firstLineChars="200"/>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 xml:space="preserve">1.绩效管理工作开展情况。 </w:t>
      </w:r>
      <w:r>
        <w:rPr>
          <w:rFonts w:hint="default" w:ascii="Times New Roman" w:hAnsi="Times New Roman" w:eastAsia="仿宋_GB2312" w:cs="Times New Roman"/>
          <w:kern w:val="0"/>
          <w:sz w:val="32"/>
          <w:szCs w:val="32"/>
        </w:rPr>
        <w:t>根据预算</w:t>
      </w:r>
      <w:r>
        <w:rPr>
          <w:rFonts w:hint="default" w:ascii="Times New Roman" w:hAnsi="Times New Roman" w:eastAsia="仿宋_GB2312" w:cs="Times New Roman"/>
          <w:kern w:val="0"/>
          <w:sz w:val="32"/>
          <w:szCs w:val="32"/>
          <w:lang w:eastAsia="zh-CN"/>
        </w:rPr>
        <w:t>绩效</w:t>
      </w:r>
      <w:r>
        <w:rPr>
          <w:rFonts w:hint="default" w:ascii="Times New Roman" w:hAnsi="Times New Roman" w:eastAsia="仿宋_GB2312" w:cs="Times New Roman"/>
          <w:kern w:val="0"/>
          <w:sz w:val="32"/>
          <w:szCs w:val="32"/>
        </w:rPr>
        <w:t>管理要求，</w:t>
      </w:r>
      <w:r>
        <w:rPr>
          <w:rFonts w:hint="eastAsia" w:ascii="Times New Roman" w:hAnsi="Times New Roman" w:eastAsia="仿宋_GB2312" w:cs="Times New Roman"/>
          <w:kern w:val="0"/>
          <w:sz w:val="32"/>
          <w:szCs w:val="32"/>
          <w:lang w:eastAsia="zh-CN"/>
        </w:rPr>
        <w:t>本部门</w:t>
      </w:r>
      <w:r>
        <w:rPr>
          <w:rFonts w:hint="default" w:ascii="Times New Roman" w:hAnsi="Times New Roman" w:eastAsia="仿宋_GB2312" w:cs="Times New Roman"/>
          <w:kern w:val="0"/>
          <w:sz w:val="32"/>
          <w:szCs w:val="32"/>
        </w:rPr>
        <w:t>组织对201</w:t>
      </w:r>
      <w:r>
        <w:rPr>
          <w:rFonts w:hint="default"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rPr>
        <w:t>年度一般公共预算项目支出全面开展绩效自评。其中，一级项目</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个，二级项目</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个，共涉及预算资金</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万元，自评覆盖率达到</w:t>
      </w:r>
      <w:r>
        <w:rPr>
          <w:rFonts w:hint="eastAsia"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 xml:space="preserve">%。 </w:t>
      </w:r>
    </w:p>
    <w:p>
      <w:pPr>
        <w:wordWrap/>
        <w:snapToGrid/>
        <w:spacing w:after="0" w:line="560" w:lineRule="exact"/>
        <w:ind w:right="0" w:firstLine="643" w:firstLineChars="20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2.部门决算中项目绩效自评结果</w:t>
      </w:r>
      <w:r>
        <w:rPr>
          <w:rFonts w:hint="eastAsia" w:ascii="Times New Roman" w:hAnsi="Times New Roman" w:eastAsia="仿宋_GB2312" w:cs="Times New Roman"/>
          <w:b/>
          <w:kern w:val="0"/>
          <w:sz w:val="32"/>
          <w:szCs w:val="32"/>
          <w:lang w:eastAsia="zh-CN"/>
        </w:rPr>
        <w:t>。</w:t>
      </w:r>
      <w:r>
        <w:rPr>
          <w:rFonts w:hint="eastAsia" w:ascii="Times New Roman" w:hAnsi="Times New Roman" w:eastAsia="仿宋_GB2312" w:cs="Times New Roman"/>
          <w:kern w:val="0"/>
          <w:sz w:val="32"/>
          <w:szCs w:val="32"/>
          <w:lang w:eastAsia="zh-CN"/>
        </w:rPr>
        <w:t>我局</w:t>
      </w:r>
      <w:r>
        <w:rPr>
          <w:rFonts w:hint="default" w:ascii="Times New Roman" w:hAnsi="Times New Roman" w:eastAsia="仿宋_GB2312" w:cs="Times New Roman"/>
          <w:kern w:val="0"/>
          <w:sz w:val="32"/>
          <w:szCs w:val="32"/>
        </w:rPr>
        <w:t>今年在部门决算中</w:t>
      </w:r>
      <w:r>
        <w:rPr>
          <w:rFonts w:hint="eastAsia" w:ascii="Times New Roman" w:hAnsi="Times New Roman" w:eastAsia="仿宋_GB2312" w:cs="Times New Roman"/>
          <w:kern w:val="0"/>
          <w:sz w:val="32"/>
          <w:szCs w:val="32"/>
          <w:lang w:eastAsia="zh-CN"/>
        </w:rPr>
        <w:t>未</w:t>
      </w:r>
      <w:r>
        <w:rPr>
          <w:rFonts w:hint="default" w:ascii="Times New Roman" w:hAnsi="Times New Roman" w:eastAsia="仿宋_GB2312" w:cs="Times New Roman"/>
          <w:kern w:val="0"/>
          <w:sz w:val="32"/>
          <w:szCs w:val="32"/>
        </w:rPr>
        <w:t>增加项目绩效评价结果。根据年初设定的绩效目标，</w:t>
      </w:r>
      <w:r>
        <w:rPr>
          <w:rFonts w:hint="eastAsia" w:ascii="Times New Roman" w:hAnsi="Times New Roman" w:eastAsia="仿宋_GB2312" w:cs="Times New Roman"/>
          <w:kern w:val="0"/>
          <w:sz w:val="32"/>
          <w:szCs w:val="32"/>
          <w:lang w:eastAsia="zh-CN"/>
        </w:rPr>
        <w:t>无</w:t>
      </w:r>
      <w:r>
        <w:rPr>
          <w:rFonts w:hint="default" w:ascii="Times New Roman" w:hAnsi="Times New Roman" w:eastAsia="仿宋_GB2312" w:cs="Times New Roman"/>
          <w:kern w:val="0"/>
          <w:sz w:val="32"/>
          <w:szCs w:val="32"/>
        </w:rPr>
        <w:t>项目自评得分。发现的主要问题：部门预算编制不够全面。下一步改进措施：一是加大部门收入预算编制的完整性。二是规范单位财务管理，严格财经制度，规范财务管理，提高管理水平。</w:t>
      </w:r>
    </w:p>
    <w:p>
      <w:pPr>
        <w:wordWrap/>
        <w:snapToGrid/>
        <w:spacing w:after="0" w:line="560" w:lineRule="exact"/>
        <w:ind w:right="0" w:firstLine="643" w:firstLineChars="200"/>
        <w:textAlignment w:val="auto"/>
        <w:outlineLvl w:val="1"/>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3.以财政厅为主体开展的重点项目绩效评价结果。</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kern w:val="0"/>
          <w:sz w:val="32"/>
          <w:szCs w:val="32"/>
          <w:lang w:val="en-US" w:eastAsia="zh-CN" w:bidi="ar-SA"/>
        </w:rPr>
        <w:t>无以财政厅为主体开展的重点项目绩效评价。</w:t>
      </w:r>
    </w:p>
    <w:p>
      <w:pPr>
        <w:wordWrap/>
        <w:snapToGrid/>
        <w:spacing w:after="0" w:line="560" w:lineRule="exact"/>
        <w:ind w:right="0" w:firstLine="643" w:firstLineChars="200"/>
        <w:textAlignment w:val="auto"/>
        <w:outlineLvl w:val="1"/>
        <w:rPr>
          <w:rFonts w:hint="default" w:ascii="Times New Roman" w:hAnsi="Times New Roman" w:eastAsia="仿宋_GB2312" w:cs="Times New Roman"/>
          <w:b/>
          <w:bCs/>
          <w:kern w:val="0"/>
          <w:sz w:val="32"/>
          <w:szCs w:val="32"/>
          <w:lang w:val="en-US" w:eastAsia="zh-CN"/>
        </w:rPr>
      </w:pPr>
      <w:r>
        <w:rPr>
          <w:rFonts w:hint="default" w:ascii="Times New Roman" w:hAnsi="Times New Roman" w:eastAsia="仿宋_GB2312" w:cs="Times New Roman"/>
          <w:b/>
          <w:bCs/>
          <w:kern w:val="0"/>
          <w:sz w:val="32"/>
          <w:szCs w:val="32"/>
          <w:lang w:val="en-US" w:eastAsia="zh-CN"/>
        </w:rPr>
        <w:t>4.以部门为主体开展的重点项目绩效评价结果。</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无以本部门为主体开展的重点项目绩效评价。</w:t>
      </w:r>
    </w:p>
    <w:p>
      <w:pPr>
        <w:rPr>
          <w:rFonts w:hint="default" w:ascii="Times New Roman" w:hAnsi="Times New Roman" w:eastAsia="黑体" w:cs="Times New Roman"/>
          <w:b w:val="0"/>
          <w:kern w:val="0"/>
          <w:sz w:val="36"/>
          <w:szCs w:val="36"/>
        </w:rPr>
      </w:pPr>
      <w:r>
        <w:rPr>
          <w:rFonts w:hint="default" w:ascii="Times New Roman" w:hAnsi="Times New Roman" w:eastAsia="黑体" w:cs="Times New Roman"/>
          <w:b w:val="0"/>
          <w:kern w:val="0"/>
          <w:sz w:val="36"/>
          <w:szCs w:val="36"/>
        </w:rPr>
        <w:br w:type="page"/>
      </w:r>
    </w:p>
    <w:p>
      <w:pPr>
        <w:widowControl w:val="0"/>
        <w:wordWrap/>
        <w:adjustRightInd/>
        <w:snapToGrid/>
        <w:spacing w:beforeLines="50" w:line="560" w:lineRule="exact"/>
        <w:ind w:left="0" w:leftChars="0" w:right="0" w:firstLine="176" w:firstLineChars="49"/>
        <w:jc w:val="center"/>
        <w:textAlignment w:val="auto"/>
        <w:outlineLvl w:val="1"/>
        <w:rPr>
          <w:rFonts w:hint="default" w:ascii="Times New Roman" w:hAnsi="Times New Roman" w:eastAsia="黑体" w:cs="Times New Roman"/>
          <w:b w:val="0"/>
          <w:kern w:val="0"/>
          <w:sz w:val="36"/>
          <w:szCs w:val="36"/>
        </w:rPr>
      </w:pPr>
      <w:r>
        <w:rPr>
          <w:rFonts w:hint="default" w:ascii="Times New Roman" w:hAnsi="Times New Roman" w:eastAsia="黑体" w:cs="Times New Roman"/>
          <w:b w:val="0"/>
          <w:kern w:val="0"/>
          <w:sz w:val="36"/>
          <w:szCs w:val="36"/>
        </w:rPr>
        <w:t>第四部分  名词解释</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1、财政拨款收入：指单位从同级财政部门取得的财政预算资金。</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2、基本支出：指单位为保障其机构正常运转、完 成日常工作任务而发生的人员支出和公用支出。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3、项目支出：指单位为完成特定行政任务和事业发展目标在基本支出之外所发生的支出。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4、年末结转和结余：指单位按有关规定结转到下年或以后年度继续使用的资金。</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5、年初结转和结余：指单位以前年度尚未完成、结转到本年按有关规定继续使用的资金。</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6、人员经费 ：指单位用于职工个人方面的费用支出。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7、日常公用经费：是指单位用一般公共预算财政拨款安排的除人员经费以外的基本支出。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8、项目支出：指单位为完成特定行政任务和事业发展目标在基本支出之外所发生的支出。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9、三公经费支出：指政府部门人员因公出国（境）经费、公务车购置及运行费、公务招待费产生的消费。</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10、公务接待费：是指具有社会公共管理职能的党政机关及其公职人员，对因履行社会公共管理职责而来访的公职人员，使用政府公共财政资金和其他公共资金，为其提供必要的生活与工作服务的社会交往过程产生的相关费用。</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11、公务用车购置及支行维护费：是指公务用车在购置和使用过程中产生的费用。</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12、科技转化与推广服务：反映用于农业科技成果转化，农业新品种、新机具、新技术引进、试验、示范、推广及服务等方面支出。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13、病虫害控制：反映用于病虫鼠害及疫情监测、预报、预防、控制、检疫、防疫所需的仪器、设施、药物、疫苗、种苗，疫畜（禽、鱼、植物）防治、扑杀补偿及劳务补助、菌（毒）种保藏及动植物及其产品检疫、检测等方面的支出。</w:t>
      </w:r>
    </w:p>
    <w:p>
      <w:pPr>
        <w:wordWrap/>
        <w:adjustRightInd/>
        <w:snapToGrid/>
        <w:spacing w:line="560" w:lineRule="exact"/>
        <w:ind w:left="0" w:leftChars="0" w:right="0"/>
        <w:textAlignment w:val="auto"/>
        <w:rPr>
          <w:rFonts w:hint="default" w:ascii="Times New Roman" w:hAnsi="Times New Roman" w:eastAsia="宋体" w:cs="Times New Roman"/>
          <w:lang w:val="en-US" w:eastAsia="zh-CN"/>
        </w:rPr>
      </w:pPr>
    </w:p>
    <w:p>
      <w:pPr>
        <w:rPr>
          <w:rFonts w:hint="default" w:ascii="Times New Roman" w:hAnsi="Times New Roman" w:eastAsia="黑体" w:cs="Times New Roman"/>
          <w:b w:val="0"/>
          <w:kern w:val="0"/>
          <w:sz w:val="36"/>
          <w:szCs w:val="36"/>
          <w:lang w:eastAsia="zh-CN"/>
        </w:rPr>
      </w:pPr>
      <w:r>
        <w:rPr>
          <w:rFonts w:hint="default" w:ascii="Times New Roman" w:hAnsi="Times New Roman" w:eastAsia="黑体" w:cs="Times New Roman"/>
          <w:b w:val="0"/>
          <w:kern w:val="0"/>
          <w:sz w:val="36"/>
          <w:szCs w:val="36"/>
          <w:lang w:eastAsia="zh-CN"/>
        </w:rPr>
        <w:br w:type="page"/>
      </w:r>
    </w:p>
    <w:p>
      <w:pPr>
        <w:widowControl w:val="0"/>
        <w:wordWrap/>
        <w:adjustRightInd/>
        <w:snapToGrid/>
        <w:spacing w:beforeLines="50" w:line="560" w:lineRule="exact"/>
        <w:ind w:left="0" w:leftChars="0" w:right="0" w:firstLine="176" w:firstLineChars="49"/>
        <w:jc w:val="center"/>
        <w:textAlignment w:val="auto"/>
        <w:outlineLvl w:val="1"/>
        <w:rPr>
          <w:rFonts w:hint="default" w:ascii="Times New Roman" w:hAnsi="Times New Roman" w:eastAsia="黑体" w:cs="Times New Roman"/>
          <w:b w:val="0"/>
          <w:kern w:val="0"/>
          <w:sz w:val="36"/>
          <w:szCs w:val="36"/>
          <w:lang w:val="en-US" w:eastAsia="zh-CN"/>
        </w:rPr>
      </w:pPr>
      <w:bookmarkStart w:id="0" w:name="_GoBack"/>
      <w:bookmarkEnd w:id="0"/>
      <w:r>
        <w:rPr>
          <w:rFonts w:hint="default" w:ascii="Times New Roman" w:hAnsi="Times New Roman" w:eastAsia="黑体" w:cs="Times New Roman"/>
          <w:b w:val="0"/>
          <w:kern w:val="0"/>
          <w:sz w:val="36"/>
          <w:szCs w:val="36"/>
          <w:lang w:eastAsia="zh-CN"/>
        </w:rPr>
        <w:t>第五部分</w:t>
      </w:r>
      <w:r>
        <w:rPr>
          <w:rFonts w:hint="default" w:ascii="Times New Roman" w:hAnsi="Times New Roman" w:eastAsia="黑体" w:cs="Times New Roman"/>
          <w:b w:val="0"/>
          <w:kern w:val="0"/>
          <w:sz w:val="36"/>
          <w:szCs w:val="36"/>
          <w:lang w:val="en-US" w:eastAsia="zh-CN"/>
        </w:rPr>
        <w:t xml:space="preserve">    附件</w:t>
      </w:r>
    </w:p>
    <w:p>
      <w:pPr>
        <w:widowControl w:val="0"/>
        <w:wordWrap/>
        <w:adjustRightInd/>
        <w:snapToGrid/>
        <w:spacing w:beforeLines="50" w:line="560" w:lineRule="exact"/>
        <w:ind w:left="0" w:leftChars="0" w:right="0" w:firstLine="156" w:firstLineChars="49"/>
        <w:jc w:val="both"/>
        <w:textAlignment w:val="auto"/>
        <w:outlineLvl w:val="1"/>
        <w:rPr>
          <w:rFonts w:hint="default" w:ascii="Times New Roman" w:hAnsi="Times New Roman" w:eastAsia="仿宋_GB2312" w:cs="Times New Roman"/>
          <w:b w:val="0"/>
          <w:kern w:val="0"/>
          <w:sz w:val="32"/>
          <w:szCs w:val="32"/>
          <w:lang w:val="en-US" w:eastAsia="zh-CN"/>
        </w:rPr>
      </w:pPr>
      <w:r>
        <w:rPr>
          <w:rFonts w:hint="default" w:ascii="Times New Roman" w:hAnsi="Times New Roman" w:eastAsia="仿宋_GB2312" w:cs="Times New Roman"/>
          <w:b w:val="0"/>
          <w:kern w:val="0"/>
          <w:sz w:val="32"/>
          <w:szCs w:val="32"/>
          <w:lang w:val="en-US" w:eastAsia="zh-CN"/>
        </w:rPr>
        <w:t xml:space="preserve">    </w:t>
      </w:r>
      <w:r>
        <w:rPr>
          <w:rFonts w:hint="eastAsia" w:ascii="Times New Roman" w:hAnsi="Times New Roman" w:eastAsia="仿宋_GB2312" w:cs="Times New Roman"/>
          <w:b w:val="0"/>
          <w:kern w:val="0"/>
          <w:sz w:val="32"/>
          <w:szCs w:val="32"/>
          <w:lang w:val="en-US" w:eastAsia="zh-CN"/>
        </w:rPr>
        <w:t>无</w:t>
      </w:r>
    </w:p>
    <w:p>
      <w:pPr>
        <w:widowControl w:val="0"/>
        <w:wordWrap/>
        <w:adjustRightInd/>
        <w:snapToGrid/>
        <w:spacing w:beforeLines="50" w:line="560" w:lineRule="exact"/>
        <w:ind w:left="0" w:leftChars="0" w:right="0" w:firstLine="156" w:firstLineChars="49"/>
        <w:jc w:val="both"/>
        <w:textAlignment w:val="auto"/>
        <w:outlineLvl w:val="1"/>
        <w:rPr>
          <w:rFonts w:hint="default" w:ascii="Times New Roman" w:hAnsi="Times New Roman" w:eastAsia="仿宋_GB2312" w:cs="Times New Roman"/>
          <w:b w:val="0"/>
          <w:kern w:val="0"/>
          <w:sz w:val="32"/>
          <w:szCs w:val="32"/>
          <w:lang w:val="en-US" w:eastAsia="zh-CN"/>
        </w:rPr>
      </w:pPr>
    </w:p>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dit="readOnly" w:enforcement="0"/>
  <w:defaultTabStop w:val="420"/>
  <w:drawingGridHorizontalSpacing w:val="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D82A73"/>
    <w:rsid w:val="073505DA"/>
    <w:rsid w:val="075C3CC8"/>
    <w:rsid w:val="09252950"/>
    <w:rsid w:val="0A0D7532"/>
    <w:rsid w:val="12A12092"/>
    <w:rsid w:val="1313557F"/>
    <w:rsid w:val="16872DC4"/>
    <w:rsid w:val="17E230AF"/>
    <w:rsid w:val="188155F5"/>
    <w:rsid w:val="18F643FE"/>
    <w:rsid w:val="1B9731CA"/>
    <w:rsid w:val="1B9E5D77"/>
    <w:rsid w:val="1F3D289C"/>
    <w:rsid w:val="2B6D36E0"/>
    <w:rsid w:val="2E7C3FF7"/>
    <w:rsid w:val="2F6A2AE3"/>
    <w:rsid w:val="3039397F"/>
    <w:rsid w:val="310F711D"/>
    <w:rsid w:val="34A52DA9"/>
    <w:rsid w:val="352E2B26"/>
    <w:rsid w:val="359E7D51"/>
    <w:rsid w:val="36D65F9F"/>
    <w:rsid w:val="38B952A5"/>
    <w:rsid w:val="3BAE1C54"/>
    <w:rsid w:val="3BF5773D"/>
    <w:rsid w:val="3DE91F67"/>
    <w:rsid w:val="3E9C36DA"/>
    <w:rsid w:val="412F07F9"/>
    <w:rsid w:val="428F3318"/>
    <w:rsid w:val="434B3D68"/>
    <w:rsid w:val="43585465"/>
    <w:rsid w:val="43787D7C"/>
    <w:rsid w:val="453373AB"/>
    <w:rsid w:val="46B1165A"/>
    <w:rsid w:val="475C1ECF"/>
    <w:rsid w:val="48B901D3"/>
    <w:rsid w:val="49BF2690"/>
    <w:rsid w:val="4AC70FF9"/>
    <w:rsid w:val="4DED4AA6"/>
    <w:rsid w:val="4EC45B35"/>
    <w:rsid w:val="4F084CD3"/>
    <w:rsid w:val="55022CF1"/>
    <w:rsid w:val="552E1FDF"/>
    <w:rsid w:val="561A253F"/>
    <w:rsid w:val="58B64E1D"/>
    <w:rsid w:val="5977533C"/>
    <w:rsid w:val="59F52C55"/>
    <w:rsid w:val="5A8E2047"/>
    <w:rsid w:val="5B6858DA"/>
    <w:rsid w:val="5CC504A8"/>
    <w:rsid w:val="5E9721E1"/>
    <w:rsid w:val="5EE202C6"/>
    <w:rsid w:val="5F5B142D"/>
    <w:rsid w:val="61565C66"/>
    <w:rsid w:val="622D4D69"/>
    <w:rsid w:val="63A84375"/>
    <w:rsid w:val="65457526"/>
    <w:rsid w:val="66424733"/>
    <w:rsid w:val="67F350BE"/>
    <w:rsid w:val="6A3F2610"/>
    <w:rsid w:val="6C843389"/>
    <w:rsid w:val="6DF05773"/>
    <w:rsid w:val="6E8709F2"/>
    <w:rsid w:val="6F5C6A48"/>
    <w:rsid w:val="70237839"/>
    <w:rsid w:val="727C7ECF"/>
    <w:rsid w:val="7557303E"/>
    <w:rsid w:val="77743747"/>
    <w:rsid w:val="788D1373"/>
    <w:rsid w:val="7B220A3E"/>
    <w:rsid w:val="7CE84875"/>
    <w:rsid w:val="7E700829"/>
    <w:rsid w:val="7F242389"/>
    <w:rsid w:val="7FA40D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2"/>
    <w:basedOn w:val="1"/>
    <w:next w:val="1"/>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5846</Words>
  <Characters>7008</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一瞬花开</cp:lastModifiedBy>
  <cp:lastPrinted>2020-07-16T01:06:00Z</cp:lastPrinted>
  <dcterms:modified xsi:type="dcterms:W3CDTF">2020-11-05T01:47:49Z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