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w:t>
      </w: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2019年度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72"/>
          <w:szCs w:val="72"/>
        </w:rPr>
      </w:pPr>
      <w:r>
        <w:rPr>
          <w:rFonts w:hint="eastAsia" w:ascii="方正小标宋简体" w:hAnsi="方正小标宋简体" w:eastAsia="方正小标宋简体" w:cs="方正小标宋简体"/>
          <w:bCs/>
          <w:kern w:val="0"/>
          <w:sz w:val="72"/>
          <w:szCs w:val="72"/>
        </w:rPr>
        <w:t>中卫市沙坡头区农业技术推广服务中心决算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b/>
          <w:kern w:val="0"/>
          <w:sz w:val="44"/>
          <w:szCs w:val="44"/>
        </w:rPr>
      </w:pPr>
      <w:r>
        <w:rPr>
          <w:rFonts w:hint="eastAsia" w:ascii="黑体" w:hAnsi="黑体" w:eastAsia="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eastAsia="仿宋_GB2312"/>
          <w:b/>
          <w:kern w:val="0"/>
          <w:sz w:val="32"/>
          <w:szCs w:val="32"/>
        </w:rPr>
      </w:pPr>
      <w:r>
        <w:rPr>
          <w:rFonts w:eastAsia="仿宋_GB2312"/>
          <w:kern w:val="0"/>
          <w:sz w:val="32"/>
          <w:szCs w:val="32"/>
        </w:rPr>
        <w:t>一、</w:t>
      </w:r>
      <w:r>
        <w:rPr>
          <w:rFonts w:hint="eastAsia" w:eastAsia="仿宋_GB2312"/>
          <w:kern w:val="0"/>
          <w:sz w:val="32"/>
          <w:szCs w:val="32"/>
        </w:rPr>
        <w:t>部门职责</w:t>
      </w:r>
    </w:p>
    <w:p>
      <w:pPr>
        <w:spacing w:line="580" w:lineRule="exact"/>
        <w:ind w:firstLine="800" w:firstLineChars="250"/>
        <w:outlineLvl w:val="1"/>
        <w:rPr>
          <w:rFonts w:eastAsia="仿宋_GB2312"/>
          <w:kern w:val="0"/>
          <w:sz w:val="32"/>
          <w:szCs w:val="32"/>
        </w:rPr>
      </w:pPr>
      <w:r>
        <w:rPr>
          <w:rFonts w:eastAsia="仿宋_GB2312"/>
          <w:kern w:val="0"/>
          <w:sz w:val="32"/>
          <w:szCs w:val="32"/>
        </w:rPr>
        <w:t>二、</w:t>
      </w:r>
      <w:r>
        <w:rPr>
          <w:rFonts w:hint="eastAsia" w:eastAsia="仿宋_GB2312"/>
          <w:kern w:val="0"/>
          <w:sz w:val="32"/>
          <w:szCs w:val="32"/>
        </w:rPr>
        <w:t>机构设置</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2019年度部门决算表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2019年度部门决算情况说明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widowControl/>
        <w:jc w:val="left"/>
        <w:outlineLvl w:val="1"/>
        <w:rPr>
          <w:rFonts w:ascii="仿宋_GB2312" w:hAnsi="宋体" w:eastAsia="仿宋_GB2312"/>
          <w:b/>
          <w:kern w:val="0"/>
          <w:sz w:val="36"/>
          <w:szCs w:val="36"/>
        </w:rPr>
      </w:pPr>
    </w:p>
    <w:p>
      <w:pPr>
        <w:spacing w:beforeLines="50" w:line="580" w:lineRule="exact"/>
        <w:ind w:firstLine="176" w:firstLineChars="49"/>
        <w:jc w:val="center"/>
        <w:outlineLvl w:val="1"/>
        <w:rPr>
          <w:rFonts w:ascii="黑体" w:hAnsi="黑体" w:eastAsia="黑体"/>
          <w:kern w:val="0"/>
          <w:sz w:val="36"/>
          <w:szCs w:val="36"/>
        </w:rPr>
      </w:pPr>
      <w:r>
        <w:rPr>
          <w:rFonts w:hint="eastAsia" w:ascii="黑体" w:hAnsi="黑体" w:eastAsia="黑体"/>
          <w:kern w:val="0"/>
          <w:sz w:val="36"/>
          <w:szCs w:val="36"/>
        </w:rPr>
        <w:t>第一部分  单位概况</w:t>
      </w:r>
    </w:p>
    <w:p>
      <w:pPr>
        <w:widowControl/>
        <w:spacing w:line="560" w:lineRule="exact"/>
        <w:jc w:val="left"/>
        <w:rPr>
          <w:rFonts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kern w:val="0"/>
          <w:sz w:val="32"/>
          <w:szCs w:val="32"/>
        </w:rPr>
        <w:t>一、单位职责</w:t>
      </w:r>
    </w:p>
    <w:p>
      <w:pPr>
        <w:snapToGrid w:val="0"/>
        <w:spacing w:line="520" w:lineRule="exact"/>
        <w:ind w:firstLine="640" w:firstLineChars="200"/>
        <w:rPr>
          <w:rFonts w:ascii="仿宋" w:hAnsi="仿宋" w:eastAsia="仿宋" w:cs="Times New Roman"/>
          <w:bCs/>
          <w:kern w:val="0"/>
          <w:sz w:val="32"/>
          <w:szCs w:val="32"/>
        </w:rPr>
      </w:pPr>
      <w:r>
        <w:rPr>
          <w:rFonts w:hint="eastAsia" w:ascii="仿宋" w:hAnsi="仿宋" w:eastAsia="仿宋" w:cs="Times New Roman"/>
          <w:sz w:val="32"/>
          <w:szCs w:val="32"/>
        </w:rPr>
        <w:t>本单位主要职责为：贯彻落实党和国家及上级业务部门有关农业技术推广工作的政策法规；制定沙坡头区农业技术推广服务工作的年度计划与长远规划；负责农业新技术、农作物新品种的引进、试验、示范、推广及重大农业技术推广项目的组织、实施和工作；负责沙坡头区农作物重大病虫害的测报和植物检疫工作；负责沙坡头区土壤养分调查及耕地质量监测工作；负责沙坡头区农村能源项目的规划、申报、实施与管理；负责沙坡头区农业机械新产品、新技术的引进、试验、示范、推广服务和管理工作；负责沙坡头区农产品生产过程中的质量安全检验、检测和监测服务；负责指导乡（镇）开展农业技术服务工作；负责专业技术人员和农民的培训工作；承办中卫市沙坡头区农牧林业科技局交办的其他工作。</w:t>
      </w:r>
    </w:p>
    <w:p>
      <w:pPr>
        <w:widowControl/>
        <w:spacing w:line="560" w:lineRule="exact"/>
        <w:ind w:firstLine="480"/>
        <w:jc w:val="left"/>
        <w:rPr>
          <w:rFonts w:ascii="仿宋_GB2312" w:hAnsi="仿宋_GB2312" w:eastAsia="仿宋_GB2312" w:cs="仿宋_GB2312"/>
          <w:bCs/>
          <w:kern w:val="0"/>
          <w:sz w:val="32"/>
          <w:szCs w:val="32"/>
        </w:rPr>
      </w:pPr>
      <w:r>
        <w:rPr>
          <w:rFonts w:hint="eastAsia" w:ascii="楷体_GB2312" w:hAnsi="楷体_GB2312" w:eastAsia="楷体_GB2312" w:cs="楷体_GB2312"/>
          <w:b/>
          <w:bCs/>
          <w:kern w:val="0"/>
          <w:sz w:val="32"/>
          <w:szCs w:val="32"/>
        </w:rPr>
        <w:t>　二、机构设置</w:t>
      </w:r>
      <w:r>
        <w:rPr>
          <w:rFonts w:hint="eastAsia" w:ascii="黑体" w:hAnsi="黑体" w:eastAsia="黑体" w:cs="宋体"/>
          <w:b/>
          <w:bCs/>
          <w:kern w:val="0"/>
          <w:sz w:val="32"/>
          <w:szCs w:val="32"/>
        </w:rPr>
        <w:t xml:space="preserve">    </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sz w:val="32"/>
          <w:szCs w:val="32"/>
        </w:rPr>
        <w:t>我单位属于一般预算全额人员经费和公用经费的事业单位，独立机构1个，核定编制数91人。当年无增减情况。</w:t>
      </w:r>
    </w:p>
    <w:p>
      <w:pPr>
        <w:widowControl/>
        <w:adjustRightInd w:val="0"/>
        <w:snapToGrid w:val="0"/>
        <w:ind w:firstLine="640" w:firstLineChars="200"/>
        <w:rPr>
          <w:rFonts w:ascii="仿宋" w:hAnsi="仿宋" w:eastAsia="仿宋" w:cs="仿宋_GB2312"/>
          <w:sz w:val="32"/>
          <w:szCs w:val="32"/>
        </w:rPr>
      </w:pPr>
      <w:r>
        <w:rPr>
          <w:rFonts w:hint="eastAsia" w:ascii="仿宋" w:hAnsi="仿宋" w:eastAsia="仿宋" w:cs="仿宋_GB2312"/>
          <w:sz w:val="32"/>
          <w:szCs w:val="32"/>
        </w:rPr>
        <w:t>3．人员情况，</w:t>
      </w:r>
    </w:p>
    <w:p>
      <w:pPr>
        <w:widowControl/>
        <w:adjustRightInd w:val="0"/>
        <w:snapToGrid w:val="0"/>
        <w:ind w:firstLine="640" w:firstLineChars="200"/>
        <w:jc w:val="center"/>
      </w:pPr>
      <w:r>
        <w:rPr>
          <w:rFonts w:hint="eastAsia" w:ascii="仿宋" w:hAnsi="仿宋" w:eastAsia="仿宋" w:cs="仿宋"/>
          <w:sz w:val="32"/>
          <w:szCs w:val="32"/>
        </w:rPr>
        <w:t>核定事业编制91人，2019年退休5人，截至2019年年底，我单位共有在职事业人员84人，退休人员13人。</w:t>
      </w:r>
    </w:p>
    <w:p>
      <w:pPr>
        <w:spacing w:line="580" w:lineRule="exact"/>
      </w:pPr>
    </w:p>
    <w:p>
      <w:pPr>
        <w:spacing w:line="580" w:lineRule="exact"/>
      </w:pPr>
    </w:p>
    <w:p>
      <w:pPr>
        <w:spacing w:line="580" w:lineRule="exact"/>
      </w:pPr>
    </w:p>
    <w:p>
      <w:pPr>
        <w:widowControl/>
        <w:rPr>
          <w:rFonts w:ascii="宋体" w:hAnsi="宋体" w:cs="Arial"/>
          <w:b/>
          <w:bCs/>
          <w:color w:val="000000"/>
          <w:kern w:val="0"/>
          <w:sz w:val="44"/>
          <w:szCs w:val="44"/>
        </w:rPr>
        <w:sectPr>
          <w:pgSz w:w="11906" w:h="16838"/>
          <w:pgMar w:top="1440" w:right="1800" w:bottom="1440" w:left="1800" w:header="851" w:footer="992" w:gutter="0"/>
          <w:cols w:space="720"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4836"/>
        <w:gridCol w:w="612"/>
        <w:gridCol w:w="1844"/>
        <w:gridCol w:w="4235"/>
        <w:gridCol w:w="701"/>
        <w:gridCol w:w="2512"/>
      </w:tblGrid>
      <w:tr>
        <w:tblPrEx>
          <w:tblCellMar>
            <w:top w:w="0" w:type="dxa"/>
            <w:left w:w="108" w:type="dxa"/>
            <w:bottom w:w="0" w:type="dxa"/>
            <w:right w:w="108" w:type="dxa"/>
          </w:tblCellMar>
        </w:tblPrEx>
        <w:trPr>
          <w:trHeight w:val="1268" w:hRule="atLeast"/>
          <w:jc w:val="center"/>
        </w:trPr>
        <w:tc>
          <w:tcPr>
            <w:tcW w:w="14740" w:type="dxa"/>
            <w:gridSpan w:val="6"/>
            <w:tcBorders>
              <w:top w:val="nil"/>
              <w:left w:val="nil"/>
              <w:bottom w:val="nil"/>
              <w:right w:val="nil"/>
            </w:tcBorders>
            <w:vAlign w:val="bottom"/>
          </w:tcPr>
          <w:p>
            <w:pPr>
              <w:spacing w:beforeLines="50" w:line="580" w:lineRule="exact"/>
              <w:ind w:firstLine="176" w:firstLineChars="49"/>
              <w:jc w:val="center"/>
              <w:outlineLvl w:val="1"/>
              <w:rPr>
                <w:rFonts w:ascii="黑体" w:hAnsi="黑体" w:eastAsia="黑体"/>
                <w:b/>
                <w:bCs/>
                <w:color w:val="000000"/>
                <w:kern w:val="0"/>
                <w:sz w:val="44"/>
                <w:szCs w:val="44"/>
              </w:rPr>
            </w:pPr>
            <w:r>
              <w:rPr>
                <w:rFonts w:hint="eastAsia" w:ascii="黑体" w:hAnsi="黑体" w:eastAsia="黑体"/>
                <w:kern w:val="0"/>
                <w:sz w:val="36"/>
                <w:szCs w:val="36"/>
              </w:rPr>
              <w:t>第二部分  2019年度部门决算表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89" w:hRule="exact"/>
          <w:jc w:val="center"/>
        </w:trPr>
        <w:tc>
          <w:tcPr>
            <w:tcW w:w="48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1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4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CellMar>
            <w:top w:w="0" w:type="dxa"/>
            <w:left w:w="108" w:type="dxa"/>
            <w:bottom w:w="0" w:type="dxa"/>
            <w:right w:w="108" w:type="dxa"/>
          </w:tblCellMar>
        </w:tblPrEx>
        <w:trPr>
          <w:trHeight w:val="266" w:hRule="exact"/>
          <w:jc w:val="center"/>
        </w:trPr>
        <w:tc>
          <w:tcPr>
            <w:tcW w:w="4836" w:type="dxa"/>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0"/>
                <w:szCs w:val="20"/>
              </w:rPr>
              <w:t>公开部门：中卫市沙坡头区农业技术推广服务中心</w:t>
            </w:r>
          </w:p>
        </w:tc>
        <w:tc>
          <w:tcPr>
            <w:tcW w:w="61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4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blPrEx>
          <w:tblCellMar>
            <w:top w:w="0" w:type="dxa"/>
            <w:left w:w="108" w:type="dxa"/>
            <w:bottom w:w="0" w:type="dxa"/>
            <w:right w:w="108" w:type="dxa"/>
          </w:tblCellMar>
        </w:tblPrEx>
        <w:trPr>
          <w:trHeight w:val="266" w:hRule="exact"/>
          <w:jc w:val="center"/>
        </w:trPr>
        <w:tc>
          <w:tcPr>
            <w:tcW w:w="7292"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收入</w:t>
            </w:r>
          </w:p>
        </w:tc>
        <w:tc>
          <w:tcPr>
            <w:tcW w:w="7448" w:type="dxa"/>
            <w:gridSpan w:val="3"/>
            <w:tcBorders>
              <w:top w:val="single" w:color="000000" w:sz="8"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行次</w:t>
            </w:r>
          </w:p>
        </w:tc>
        <w:tc>
          <w:tcPr>
            <w:tcW w:w="1844"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决算数</w:t>
            </w:r>
          </w:p>
        </w:tc>
        <w:tc>
          <w:tcPr>
            <w:tcW w:w="4235"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项目(按功能分类)</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行次</w:t>
            </w:r>
          </w:p>
        </w:tc>
        <w:tc>
          <w:tcPr>
            <w:tcW w:w="25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844"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w:t>
            </w:r>
          </w:p>
        </w:tc>
        <w:tc>
          <w:tcPr>
            <w:tcW w:w="4235"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一、一般公共预算财政拨款收入</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15,517,399.96</w:t>
            </w:r>
          </w:p>
          <w:p>
            <w:pPr>
              <w:widowControl/>
              <w:jc w:val="right"/>
              <w:textAlignment w:val="center"/>
              <w:rPr>
                <w:rFonts w:ascii="宋体" w:hAnsi="宋体" w:cs="宋体"/>
                <w:color w:val="000000"/>
                <w:kern w:val="0"/>
                <w:sz w:val="20"/>
                <w:szCs w:val="20"/>
              </w:rPr>
            </w:pP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一、一般公共服务支出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29</w:t>
            </w:r>
          </w:p>
        </w:tc>
        <w:tc>
          <w:tcPr>
            <w:tcW w:w="2512"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二、政府性基金预算财政拨款</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二、外交支出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2512"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三、上级补助收入</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三、国防支出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31</w:t>
            </w:r>
          </w:p>
        </w:tc>
        <w:tc>
          <w:tcPr>
            <w:tcW w:w="2512"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四、事业收入</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四、公共安全支出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2512"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五、经营收入</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五、教育支出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33</w:t>
            </w:r>
          </w:p>
        </w:tc>
        <w:tc>
          <w:tcPr>
            <w:tcW w:w="2512"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六、附属单位上缴收入</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六、科学技术支出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34</w:t>
            </w:r>
          </w:p>
        </w:tc>
        <w:tc>
          <w:tcPr>
            <w:tcW w:w="2512"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七、其他收入</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71,054,562.41</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35</w:t>
            </w:r>
          </w:p>
        </w:tc>
        <w:tc>
          <w:tcPr>
            <w:tcW w:w="2512"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八、社会保障和就业支出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1,357,085.36</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九、卫生健康支出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37</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769,064.86</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十、节能环保支出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38</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699,629.00</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十一、城乡社区支出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39</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十二、农林水支出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40</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79,806,388.57</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十三、交通运输支出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41</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十四、资源勘探信息等支出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42</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十五、商业服务业等支出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43</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auto"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844" w:type="dxa"/>
            <w:tcBorders>
              <w:top w:val="nil"/>
              <w:left w:val="nil"/>
              <w:bottom w:val="single" w:color="auto"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十六、金融支出</w:t>
            </w:r>
          </w:p>
        </w:tc>
        <w:tc>
          <w:tcPr>
            <w:tcW w:w="701" w:type="dxa"/>
            <w:tcBorders>
              <w:top w:val="nil"/>
              <w:left w:val="nil"/>
              <w:bottom w:val="single" w:color="auto"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44</w:t>
            </w:r>
          </w:p>
        </w:tc>
        <w:tc>
          <w:tcPr>
            <w:tcW w:w="2512" w:type="dxa"/>
            <w:tcBorders>
              <w:top w:val="nil"/>
              <w:left w:val="nil"/>
              <w:bottom w:val="single" w:color="auto"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836"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84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836"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84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836"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19</w:t>
            </w:r>
          </w:p>
        </w:tc>
        <w:tc>
          <w:tcPr>
            <w:tcW w:w="184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1,129,621.00</w:t>
            </w:r>
          </w:p>
        </w:tc>
      </w:tr>
      <w:tr>
        <w:tblPrEx>
          <w:tblCellMar>
            <w:top w:w="0" w:type="dxa"/>
            <w:left w:w="108" w:type="dxa"/>
            <w:bottom w:w="0" w:type="dxa"/>
            <w:right w:w="108" w:type="dxa"/>
          </w:tblCellMar>
        </w:tblPrEx>
        <w:trPr>
          <w:trHeight w:val="266" w:hRule="exact"/>
          <w:jc w:val="center"/>
        </w:trPr>
        <w:tc>
          <w:tcPr>
            <w:tcW w:w="4836"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w:t>
            </w:r>
          </w:p>
        </w:tc>
        <w:tc>
          <w:tcPr>
            <w:tcW w:w="1844" w:type="dxa"/>
            <w:tcBorders>
              <w:top w:val="single" w:color="auto" w:sz="4" w:space="0"/>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48</w:t>
            </w:r>
          </w:p>
        </w:tc>
        <w:tc>
          <w:tcPr>
            <w:tcW w:w="2512" w:type="dxa"/>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21</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49</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22</w:t>
            </w:r>
          </w:p>
        </w:tc>
        <w:tc>
          <w:tcPr>
            <w:tcW w:w="184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235" w:type="dxa"/>
            <w:tcBorders>
              <w:top w:val="nil"/>
              <w:left w:val="nil"/>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二十二、其他支出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50</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b/>
                <w:bCs/>
                <w:color w:val="000000"/>
                <w:kern w:val="0"/>
                <w:sz w:val="18"/>
                <w:szCs w:val="18"/>
              </w:rPr>
            </w:pP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23</w:t>
            </w:r>
          </w:p>
        </w:tc>
        <w:tc>
          <w:tcPr>
            <w:tcW w:w="1844" w:type="dxa"/>
            <w:tcBorders>
              <w:top w:val="nil"/>
              <w:left w:val="nil"/>
              <w:bottom w:val="single" w:color="000000" w:sz="4" w:space="0"/>
              <w:right w:val="nil"/>
            </w:tcBorders>
            <w:vAlign w:val="center"/>
          </w:tcPr>
          <w:p>
            <w:pPr>
              <w:widowControl/>
              <w:jc w:val="right"/>
              <w:textAlignment w:val="center"/>
              <w:rPr>
                <w:rFonts w:ascii="宋体" w:hAnsi="宋体" w:cs="宋体"/>
                <w:color w:val="000000"/>
                <w:kern w:val="0"/>
                <w:sz w:val="20"/>
                <w:szCs w:val="20"/>
              </w:rPr>
            </w:pP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二十三、债务还本支出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b/>
                <w:bCs/>
                <w:color w:val="000000"/>
                <w:kern w:val="0"/>
                <w:sz w:val="18"/>
                <w:szCs w:val="18"/>
              </w:rPr>
            </w:pP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w:t>
            </w:r>
          </w:p>
        </w:tc>
        <w:tc>
          <w:tcPr>
            <w:tcW w:w="1844" w:type="dxa"/>
            <w:tcBorders>
              <w:top w:val="nil"/>
              <w:left w:val="nil"/>
              <w:bottom w:val="single" w:color="000000" w:sz="4" w:space="0"/>
              <w:right w:val="nil"/>
            </w:tcBorders>
            <w:vAlign w:val="center"/>
          </w:tcPr>
          <w:p>
            <w:pPr>
              <w:widowControl/>
              <w:jc w:val="right"/>
              <w:textAlignment w:val="center"/>
              <w:rPr>
                <w:rFonts w:ascii="宋体" w:hAnsi="宋体" w:cs="宋体"/>
                <w:color w:val="000000"/>
                <w:kern w:val="0"/>
                <w:sz w:val="20"/>
                <w:szCs w:val="20"/>
              </w:rPr>
            </w:pP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color w:val="000000"/>
                <w:kern w:val="0"/>
                <w:sz w:val="18"/>
                <w:szCs w:val="18"/>
              </w:rPr>
              <w:t>二十三、债务付息支出</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本年收入合计</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25</w:t>
            </w:r>
          </w:p>
        </w:tc>
        <w:tc>
          <w:tcPr>
            <w:tcW w:w="1844" w:type="dxa"/>
            <w:tcBorders>
              <w:top w:val="nil"/>
              <w:left w:val="nil"/>
              <w:bottom w:val="single" w:color="000000" w:sz="4" w:space="0"/>
              <w:right w:val="nil"/>
            </w:tcBorders>
            <w:vAlign w:val="center"/>
          </w:tcPr>
          <w:p>
            <w:pPr>
              <w:jc w:val="right"/>
              <w:rPr>
                <w:rFonts w:ascii="宋体" w:hAnsi="宋体" w:cs="Arial"/>
                <w:color w:val="000000"/>
                <w:sz w:val="22"/>
                <w:szCs w:val="22"/>
              </w:rPr>
            </w:pPr>
            <w:r>
              <w:rPr>
                <w:rFonts w:hint="eastAsia" w:cs="Arial"/>
                <w:color w:val="000000"/>
                <w:sz w:val="22"/>
                <w:szCs w:val="22"/>
              </w:rPr>
              <w:t>86,571,962.37</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本年支出合计</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83,761,788.79</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用事业基金弥补收支差额</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26</w:t>
            </w:r>
          </w:p>
        </w:tc>
        <w:tc>
          <w:tcPr>
            <w:tcW w:w="1844" w:type="dxa"/>
            <w:tcBorders>
              <w:top w:val="nil"/>
              <w:left w:val="nil"/>
              <w:bottom w:val="single" w:color="000000" w:sz="4" w:space="0"/>
              <w:right w:val="nil"/>
            </w:tcBorders>
            <w:vAlign w:val="center"/>
          </w:tcPr>
          <w:p>
            <w:pPr>
              <w:widowControl/>
              <w:jc w:val="right"/>
              <w:textAlignment w:val="center"/>
              <w:rPr>
                <w:rFonts w:ascii="宋体" w:hAnsi="宋体" w:cs="宋体"/>
                <w:color w:val="000000"/>
                <w:kern w:val="0"/>
                <w:sz w:val="20"/>
                <w:szCs w:val="20"/>
              </w:rPr>
            </w:pPr>
          </w:p>
        </w:tc>
        <w:tc>
          <w:tcPr>
            <w:tcW w:w="4235"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结余分配</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56</w:t>
            </w:r>
          </w:p>
        </w:tc>
        <w:tc>
          <w:tcPr>
            <w:tcW w:w="2512"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312" w:hRule="exact"/>
          <w:jc w:val="center"/>
        </w:trPr>
        <w:tc>
          <w:tcPr>
            <w:tcW w:w="4836" w:type="dxa"/>
            <w:tcBorders>
              <w:top w:val="nil"/>
              <w:left w:val="single" w:color="000000" w:sz="8"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年初结转和结余</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27</w:t>
            </w:r>
          </w:p>
        </w:tc>
        <w:tc>
          <w:tcPr>
            <w:tcW w:w="1844" w:type="dxa"/>
            <w:tcBorders>
              <w:top w:val="nil"/>
              <w:left w:val="nil"/>
              <w:bottom w:val="single" w:color="000000" w:sz="4" w:space="0"/>
              <w:right w:val="nil"/>
            </w:tcBorders>
            <w:vAlign w:val="center"/>
          </w:tcPr>
          <w:p>
            <w:pPr>
              <w:jc w:val="right"/>
              <w:rPr>
                <w:rFonts w:ascii="宋体" w:hAnsi="宋体" w:cs="Arial"/>
                <w:color w:val="000000"/>
                <w:sz w:val="22"/>
                <w:szCs w:val="22"/>
              </w:rPr>
            </w:pPr>
            <w:r>
              <w:rPr>
                <w:rFonts w:hint="eastAsia" w:cs="Arial"/>
                <w:color w:val="000000"/>
                <w:sz w:val="22"/>
                <w:szCs w:val="22"/>
              </w:rPr>
              <w:t>34,571,652.53</w:t>
            </w:r>
          </w:p>
        </w:tc>
        <w:tc>
          <w:tcPr>
            <w:tcW w:w="4235"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57</w:t>
            </w:r>
          </w:p>
        </w:tc>
        <w:tc>
          <w:tcPr>
            <w:tcW w:w="2512"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37,381,826.11</w:t>
            </w:r>
          </w:p>
        </w:tc>
      </w:tr>
      <w:tr>
        <w:tblPrEx>
          <w:tblCellMar>
            <w:top w:w="0" w:type="dxa"/>
            <w:left w:w="108" w:type="dxa"/>
            <w:bottom w:w="0" w:type="dxa"/>
            <w:right w:w="108" w:type="dxa"/>
          </w:tblCellMar>
        </w:tblPrEx>
        <w:trPr>
          <w:trHeight w:val="266" w:hRule="exact"/>
          <w:jc w:val="center"/>
        </w:trPr>
        <w:tc>
          <w:tcPr>
            <w:tcW w:w="4836" w:type="dxa"/>
            <w:tcBorders>
              <w:top w:val="nil"/>
              <w:left w:val="single" w:color="000000" w:sz="8" w:space="0"/>
              <w:bottom w:val="single" w:color="000000" w:sz="8" w:space="0"/>
              <w:right w:val="single" w:color="000000"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总计</w:t>
            </w:r>
          </w:p>
        </w:tc>
        <w:tc>
          <w:tcPr>
            <w:tcW w:w="612"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28</w:t>
            </w:r>
          </w:p>
        </w:tc>
        <w:tc>
          <w:tcPr>
            <w:tcW w:w="1844" w:type="dxa"/>
            <w:tcBorders>
              <w:top w:val="nil"/>
              <w:left w:val="nil"/>
              <w:bottom w:val="single" w:color="000000" w:sz="8" w:space="0"/>
              <w:right w:val="nil"/>
            </w:tcBorders>
            <w:vAlign w:val="center"/>
          </w:tcPr>
          <w:p>
            <w:pPr>
              <w:jc w:val="right"/>
              <w:rPr>
                <w:rFonts w:ascii="宋体" w:hAnsi="宋体" w:cs="Arial"/>
                <w:color w:val="000000"/>
                <w:sz w:val="22"/>
                <w:szCs w:val="22"/>
              </w:rPr>
            </w:pPr>
            <w:r>
              <w:rPr>
                <w:rFonts w:hint="eastAsia" w:cs="Arial"/>
                <w:color w:val="000000"/>
                <w:sz w:val="22"/>
                <w:szCs w:val="22"/>
              </w:rPr>
              <w:t>121,143,614.90</w:t>
            </w:r>
          </w:p>
        </w:tc>
        <w:tc>
          <w:tcPr>
            <w:tcW w:w="423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总计</w:t>
            </w:r>
          </w:p>
        </w:tc>
        <w:tc>
          <w:tcPr>
            <w:tcW w:w="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58</w:t>
            </w:r>
          </w:p>
        </w:tc>
        <w:tc>
          <w:tcPr>
            <w:tcW w:w="2512"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121,143,614.90</w:t>
            </w: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310"/>
        <w:gridCol w:w="290"/>
        <w:gridCol w:w="426"/>
        <w:gridCol w:w="3509"/>
        <w:gridCol w:w="1523"/>
        <w:gridCol w:w="1534"/>
        <w:gridCol w:w="1408"/>
        <w:gridCol w:w="992"/>
        <w:gridCol w:w="1016"/>
        <w:gridCol w:w="1465"/>
        <w:gridCol w:w="1789"/>
      </w:tblGrid>
      <w:tr>
        <w:tblPrEx>
          <w:tblCellMar>
            <w:top w:w="0" w:type="dxa"/>
            <w:left w:w="108" w:type="dxa"/>
            <w:bottom w:w="0" w:type="dxa"/>
            <w:right w:w="108" w:type="dxa"/>
          </w:tblCellMar>
        </w:tblPrEx>
        <w:trPr>
          <w:trHeight w:val="90" w:hRule="atLeast"/>
        </w:trPr>
        <w:tc>
          <w:tcPr>
            <w:tcW w:w="14262" w:type="dxa"/>
            <w:gridSpan w:val="11"/>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color w:val="000000"/>
                <w:kern w:val="0"/>
                <w:sz w:val="44"/>
                <w:szCs w:val="44"/>
              </w:rPr>
              <w:t>收入决算表</w:t>
            </w:r>
          </w:p>
        </w:tc>
      </w:tr>
      <w:tr>
        <w:tblPrEx>
          <w:tblCellMar>
            <w:top w:w="0" w:type="dxa"/>
            <w:left w:w="108" w:type="dxa"/>
            <w:bottom w:w="0" w:type="dxa"/>
            <w:right w:w="108" w:type="dxa"/>
          </w:tblCellMar>
        </w:tblPrEx>
        <w:trPr>
          <w:trHeight w:val="300" w:hRule="atLeast"/>
        </w:trPr>
        <w:tc>
          <w:tcPr>
            <w:tcW w:w="3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50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3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9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89"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CellMar>
            <w:top w:w="0" w:type="dxa"/>
            <w:left w:w="108" w:type="dxa"/>
            <w:bottom w:w="0" w:type="dxa"/>
            <w:right w:w="108" w:type="dxa"/>
          </w:tblCellMar>
        </w:tblPrEx>
        <w:trPr>
          <w:trHeight w:val="315" w:hRule="atLeast"/>
        </w:trPr>
        <w:tc>
          <w:tcPr>
            <w:tcW w:w="6058" w:type="dxa"/>
            <w:gridSpan w:val="5"/>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0"/>
                <w:szCs w:val="20"/>
              </w:rPr>
              <w:t>公开部门：中卫市沙坡头区农业技术推广服务中心</w:t>
            </w:r>
          </w:p>
        </w:tc>
        <w:tc>
          <w:tcPr>
            <w:tcW w:w="153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8" w:type="dxa"/>
            <w:tcBorders>
              <w:top w:val="nil"/>
              <w:left w:val="nil"/>
              <w:bottom w:val="nil"/>
              <w:right w:val="nil"/>
            </w:tcBorders>
            <w:vAlign w:val="bottom"/>
          </w:tcPr>
          <w:p>
            <w:pPr>
              <w:widowControl/>
              <w:jc w:val="center"/>
              <w:rPr>
                <w:rFonts w:ascii="宋体" w:hAnsi="宋体" w:cs="Arial"/>
                <w:color w:val="000000"/>
                <w:kern w:val="0"/>
                <w:sz w:val="20"/>
                <w:szCs w:val="20"/>
              </w:rPr>
            </w:pPr>
          </w:p>
        </w:tc>
        <w:tc>
          <w:tcPr>
            <w:tcW w:w="99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89"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4535"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1523"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本年收入合计</w:t>
            </w:r>
          </w:p>
        </w:tc>
        <w:tc>
          <w:tcPr>
            <w:tcW w:w="15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财政拨款收入</w:t>
            </w:r>
          </w:p>
        </w:tc>
        <w:tc>
          <w:tcPr>
            <w:tcW w:w="14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上级补助收入</w:t>
            </w:r>
          </w:p>
        </w:tc>
        <w:tc>
          <w:tcPr>
            <w:tcW w:w="992" w:type="dxa"/>
            <w:vMerge w:val="restart"/>
            <w:tcBorders>
              <w:top w:val="single" w:color="000000" w:sz="8" w:space="0"/>
              <w:left w:val="nil"/>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事业收入</w:t>
            </w:r>
          </w:p>
        </w:tc>
        <w:tc>
          <w:tcPr>
            <w:tcW w:w="101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经营收入</w:t>
            </w:r>
          </w:p>
        </w:tc>
        <w:tc>
          <w:tcPr>
            <w:tcW w:w="146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附属单位上缴收入</w:t>
            </w:r>
          </w:p>
        </w:tc>
        <w:tc>
          <w:tcPr>
            <w:tcW w:w="1789"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功能分类科目编码</w:t>
            </w:r>
          </w:p>
        </w:tc>
        <w:tc>
          <w:tcPr>
            <w:tcW w:w="35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523" w:type="dxa"/>
            <w:vMerge w:val="continue"/>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1534" w:type="dxa"/>
            <w:vMerge w:val="continue"/>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1408" w:type="dxa"/>
            <w:vMerge w:val="continue"/>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992" w:type="dxa"/>
            <w:vMerge w:val="continue"/>
            <w:tcBorders>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1016" w:type="dxa"/>
            <w:vMerge w:val="continue"/>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1465" w:type="dxa"/>
            <w:vMerge w:val="continue"/>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1789" w:type="dxa"/>
            <w:vMerge w:val="continue"/>
            <w:tcBorders>
              <w:top w:val="single" w:color="000000" w:sz="8" w:space="0"/>
              <w:left w:val="nil"/>
              <w:bottom w:val="single" w:color="000000" w:sz="4" w:space="0"/>
              <w:right w:val="single" w:color="000000" w:sz="8"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08" w:hRule="atLeast"/>
        </w:trPr>
        <w:tc>
          <w:tcPr>
            <w:tcW w:w="31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w:t>
            </w:r>
          </w:p>
        </w:tc>
        <w:tc>
          <w:tcPr>
            <w:tcW w:w="290" w:type="dxa"/>
            <w:vMerge w:val="restart"/>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款</w:t>
            </w:r>
          </w:p>
        </w:tc>
        <w:tc>
          <w:tcPr>
            <w:tcW w:w="426" w:type="dxa"/>
            <w:vMerge w:val="restart"/>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5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523"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534"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92"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16"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6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789" w:type="dxa"/>
            <w:tcBorders>
              <w:top w:val="nil"/>
              <w:left w:val="nil"/>
              <w:bottom w:val="single" w:color="000000" w:sz="4"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308" w:hRule="atLeast"/>
        </w:trPr>
        <w:tc>
          <w:tcPr>
            <w:tcW w:w="310" w:type="dxa"/>
            <w:vMerge w:val="continue"/>
            <w:tcBorders>
              <w:top w:val="nil"/>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290" w:type="dxa"/>
            <w:vMerge w:val="continue"/>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426" w:type="dxa"/>
            <w:vMerge w:val="continue"/>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35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1523"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86,571,962.37</w:t>
            </w:r>
          </w:p>
        </w:tc>
        <w:tc>
          <w:tcPr>
            <w:tcW w:w="1534"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15,517,399.96</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宋体"/>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宋体"/>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宋体"/>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宋体"/>
                <w:color w:val="000000"/>
                <w:kern w:val="0"/>
                <w:sz w:val="18"/>
                <w:szCs w:val="18"/>
              </w:rPr>
            </w:pPr>
          </w:p>
        </w:tc>
        <w:tc>
          <w:tcPr>
            <w:tcW w:w="1789" w:type="dxa"/>
            <w:tcBorders>
              <w:top w:val="nil"/>
              <w:left w:val="nil"/>
              <w:bottom w:val="single" w:color="000000" w:sz="4" w:space="0"/>
              <w:right w:val="single" w:color="000000" w:sz="8" w:space="0"/>
            </w:tcBorders>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71.054.562.4</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1,357,085.36</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1,357,085.36</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行政事业单位离退休</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1,357,085.36</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1,357,085.36</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1,084,621.82</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1,084,621.82</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2080506</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169,965.54</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169,965.54</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2080599</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其他行政事业单位离退休支出</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102,498.00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102,498.00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21011</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2101102</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农林水支出</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83,316,191.15</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12,261,628.74</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71,054,562.41</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农业</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83,316,191.15</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12,261,628.74</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71,054,562.41</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2130104</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事业运行</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12,261,628.74</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12,261,628.74</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2130106</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科技转化与推广服务</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3,757,253.26</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3,757,253.26</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2130108</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病虫害控制</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512,000.00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512,000.00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2130109</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农产品质量安全</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259,000.00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259,000.00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2130111</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统计监测与信息服务</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10,000.00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10,000.00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2130119</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防灾救灾</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223,500.00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223,500.00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2130122</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农业生产支持补贴</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11,798,076.00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11,798,076.00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2130124</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农业组织化与产业化经营</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250,000.00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250,000.00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2130135</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农业资源保护修复与利用</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6,354,600.00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6,354,600.00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2130199</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其他农业支出</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47,890,133.15</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47,890,133.15</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2210201</w:t>
            </w:r>
          </w:p>
        </w:tc>
        <w:tc>
          <w:tcPr>
            <w:tcW w:w="350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5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509"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52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534"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widowControl/>
              <w:jc w:val="right"/>
              <w:textAlignment w:val="center"/>
              <w:rPr>
                <w:rFonts w:ascii="宋体" w:hAnsi="宋体" w:cs="宋体"/>
                <w:color w:val="000000"/>
                <w:sz w:val="18"/>
                <w:szCs w:val="18"/>
              </w:rPr>
            </w:pPr>
          </w:p>
        </w:tc>
      </w:tr>
    </w:tbl>
    <w:tbl>
      <w:tblPr>
        <w:tblStyle w:val="4"/>
        <w:tblpPr w:leftFromText="180" w:rightFromText="180" w:vertAnchor="text" w:horzAnchor="page" w:tblpX="1502" w:tblpY="566"/>
        <w:tblOverlap w:val="never"/>
        <w:tblW w:w="14082" w:type="dxa"/>
        <w:tblInd w:w="0" w:type="dxa"/>
        <w:tblLayout w:type="fixed"/>
        <w:tblCellMar>
          <w:top w:w="0" w:type="dxa"/>
          <w:left w:w="108" w:type="dxa"/>
          <w:bottom w:w="0" w:type="dxa"/>
          <w:right w:w="108" w:type="dxa"/>
        </w:tblCellMar>
      </w:tblPr>
      <w:tblGrid>
        <w:gridCol w:w="375"/>
        <w:gridCol w:w="381"/>
        <w:gridCol w:w="438"/>
        <w:gridCol w:w="3923"/>
        <w:gridCol w:w="1558"/>
        <w:gridCol w:w="1419"/>
        <w:gridCol w:w="1489"/>
        <w:gridCol w:w="1142"/>
        <w:gridCol w:w="1108"/>
        <w:gridCol w:w="2249"/>
      </w:tblGrid>
      <w:tr>
        <w:tblPrEx>
          <w:tblCellMar>
            <w:top w:w="0" w:type="dxa"/>
            <w:left w:w="108" w:type="dxa"/>
            <w:bottom w:w="0" w:type="dxa"/>
            <w:right w:w="108" w:type="dxa"/>
          </w:tblCellMar>
        </w:tblPrEx>
        <w:trPr>
          <w:trHeight w:val="944" w:hRule="atLeast"/>
        </w:trPr>
        <w:tc>
          <w:tcPr>
            <w:tcW w:w="14082" w:type="dxa"/>
            <w:gridSpan w:val="10"/>
            <w:tcBorders>
              <w:tl2br w:val="nil"/>
              <w:tr2bl w:val="nil"/>
            </w:tcBorders>
            <w:vAlign w:val="bottom"/>
          </w:tcPr>
          <w:p>
            <w:pPr>
              <w:widowControl/>
              <w:jc w:val="center"/>
              <w:rPr>
                <w:rFonts w:ascii="方正小标宋_GBK" w:hAnsi="方正小标宋_GBK" w:eastAsia="方正小标宋_GBK" w:cs="方正小标宋_GBK"/>
                <w:color w:val="000000"/>
                <w:kern w:val="0"/>
                <w:sz w:val="44"/>
                <w:szCs w:val="44"/>
              </w:rPr>
            </w:pPr>
          </w:p>
          <w:p>
            <w:pPr>
              <w:widowControl/>
              <w:jc w:val="center"/>
              <w:rPr>
                <w:rFonts w:ascii="方正小标宋_GBK" w:hAnsi="方正小标宋_GBK" w:eastAsia="方正小标宋_GBK" w:cs="方正小标宋_GBK"/>
                <w:color w:val="000000"/>
                <w:kern w:val="0"/>
                <w:sz w:val="44"/>
                <w:szCs w:val="44"/>
              </w:rPr>
            </w:pPr>
          </w:p>
          <w:p>
            <w:pPr>
              <w:widowControl/>
              <w:jc w:val="center"/>
              <w:rPr>
                <w:rFonts w:ascii="方正小标宋_GBK" w:hAnsi="方正小标宋_GBK" w:eastAsia="方正小标宋_GBK" w:cs="方正小标宋_GBK"/>
                <w:color w:val="000000"/>
                <w:kern w:val="0"/>
                <w:sz w:val="44"/>
                <w:szCs w:val="44"/>
              </w:rPr>
            </w:pPr>
          </w:p>
          <w:p>
            <w:pPr>
              <w:widowControl/>
              <w:jc w:val="center"/>
              <w:rPr>
                <w:rFonts w:ascii="方正小标宋_GBK" w:hAnsi="方正小标宋_GBK" w:eastAsia="方正小标宋_GBK" w:cs="方正小标宋_GBK"/>
                <w:color w:val="000000"/>
                <w:kern w:val="0"/>
                <w:sz w:val="44"/>
                <w:szCs w:val="44"/>
              </w:rPr>
            </w:pPr>
          </w:p>
          <w:p>
            <w:pPr>
              <w:widowControl/>
              <w:jc w:val="center"/>
              <w:rPr>
                <w:rFonts w:ascii="方正小标宋_GBK" w:hAnsi="方正小标宋_GBK" w:eastAsia="方正小标宋_GBK" w:cs="方正小标宋_GBK"/>
                <w:color w:val="000000"/>
                <w:kern w:val="0"/>
                <w:sz w:val="44"/>
                <w:szCs w:val="44"/>
              </w:rPr>
            </w:pPr>
          </w:p>
          <w:p>
            <w:pPr>
              <w:widowControl/>
              <w:jc w:val="center"/>
              <w:rPr>
                <w:rFonts w:ascii="方正小标宋_GBK" w:hAnsi="方正小标宋_GBK" w:eastAsia="方正小标宋_GBK" w:cs="方正小标宋_GBK"/>
                <w:color w:val="000000"/>
                <w:kern w:val="0"/>
                <w:sz w:val="44"/>
                <w:szCs w:val="44"/>
              </w:rPr>
            </w:pPr>
          </w:p>
          <w:p>
            <w:pPr>
              <w:widowControl/>
              <w:jc w:val="center"/>
              <w:rPr>
                <w:rFonts w:ascii="方正小标宋_GBK" w:hAnsi="方正小标宋_GBK" w:eastAsia="方正小标宋_GBK" w:cs="方正小标宋_GBK"/>
                <w:color w:val="000000"/>
                <w:kern w:val="0"/>
                <w:sz w:val="44"/>
                <w:szCs w:val="44"/>
              </w:rPr>
            </w:pPr>
          </w:p>
          <w:p>
            <w:pPr>
              <w:widowControl/>
              <w:jc w:val="center"/>
              <w:rPr>
                <w:rFonts w:ascii="方正小标宋_GBK" w:hAnsi="方正小标宋_GBK" w:eastAsia="方正小标宋_GBK" w:cs="方正小标宋_GBK"/>
                <w:color w:val="000000"/>
                <w:kern w:val="0"/>
                <w:sz w:val="44"/>
                <w:szCs w:val="44"/>
              </w:rPr>
            </w:pPr>
          </w:p>
          <w:p>
            <w:pPr>
              <w:widowControl/>
              <w:rPr>
                <w:rFonts w:ascii="方正小标宋_GBK" w:hAnsi="方正小标宋_GBK" w:eastAsia="方正小标宋_GBK" w:cs="方正小标宋_GBK"/>
                <w:color w:val="000000"/>
                <w:kern w:val="0"/>
                <w:sz w:val="44"/>
                <w:szCs w:val="44"/>
              </w:rPr>
            </w:pPr>
          </w:p>
          <w:p>
            <w:pPr>
              <w:widowControl/>
              <w:ind w:firstLine="6600" w:firstLineChars="1500"/>
              <w:rPr>
                <w:rFonts w:ascii="方正小标宋_GBK" w:hAnsi="方正小标宋_GBK" w:eastAsia="方正小标宋_GBK" w:cs="方正小标宋_GBK"/>
                <w:color w:val="000000"/>
                <w:kern w:val="0"/>
                <w:sz w:val="44"/>
                <w:szCs w:val="44"/>
              </w:rPr>
            </w:pPr>
          </w:p>
          <w:p>
            <w:pPr>
              <w:widowControl/>
              <w:ind w:firstLine="6600" w:firstLineChars="1500"/>
              <w:rPr>
                <w:rFonts w:ascii="宋体" w:hAnsi="宋体" w:cs="Arial"/>
                <w:color w:val="000000"/>
                <w:kern w:val="0"/>
                <w:sz w:val="44"/>
                <w:szCs w:val="44"/>
              </w:rPr>
            </w:pPr>
            <w:r>
              <w:rPr>
                <w:rFonts w:hint="eastAsia" w:ascii="方正小标宋_GBK" w:hAnsi="方正小标宋_GBK" w:eastAsia="方正小标宋_GBK" w:cs="方正小标宋_GBK"/>
                <w:color w:val="000000"/>
                <w:kern w:val="0"/>
                <w:sz w:val="44"/>
                <w:szCs w:val="44"/>
              </w:rPr>
              <w:t>支出决算表</w:t>
            </w:r>
          </w:p>
        </w:tc>
      </w:tr>
      <w:tr>
        <w:tblPrEx>
          <w:tblCellMar>
            <w:top w:w="0" w:type="dxa"/>
            <w:left w:w="108" w:type="dxa"/>
            <w:bottom w:w="0" w:type="dxa"/>
            <w:right w:w="108" w:type="dxa"/>
          </w:tblCellMar>
        </w:tblPrEx>
        <w:trPr>
          <w:trHeight w:val="300" w:hRule="atLeast"/>
        </w:trPr>
        <w:tc>
          <w:tcPr>
            <w:tcW w:w="375" w:type="dxa"/>
            <w:tcBorders>
              <w:tl2br w:val="nil"/>
              <w:tr2bl w:val="nil"/>
            </w:tcBorders>
            <w:vAlign w:val="bottom"/>
          </w:tcPr>
          <w:p>
            <w:pPr>
              <w:widowControl/>
              <w:jc w:val="left"/>
              <w:rPr>
                <w:rFonts w:ascii="Arial" w:hAnsi="Arial" w:cs="Arial"/>
                <w:color w:val="000000"/>
                <w:kern w:val="0"/>
                <w:sz w:val="20"/>
                <w:szCs w:val="20"/>
              </w:rPr>
            </w:pPr>
          </w:p>
        </w:tc>
        <w:tc>
          <w:tcPr>
            <w:tcW w:w="381" w:type="dxa"/>
            <w:tcBorders>
              <w:tl2br w:val="nil"/>
              <w:tr2bl w:val="nil"/>
            </w:tcBorders>
            <w:vAlign w:val="bottom"/>
          </w:tcPr>
          <w:p>
            <w:pPr>
              <w:widowControl/>
              <w:jc w:val="left"/>
              <w:rPr>
                <w:rFonts w:ascii="Arial" w:hAnsi="Arial" w:cs="Arial"/>
                <w:color w:val="000000"/>
                <w:kern w:val="0"/>
                <w:sz w:val="20"/>
                <w:szCs w:val="20"/>
              </w:rPr>
            </w:pPr>
          </w:p>
        </w:tc>
        <w:tc>
          <w:tcPr>
            <w:tcW w:w="438" w:type="dxa"/>
            <w:tcBorders>
              <w:tl2br w:val="nil"/>
              <w:tr2bl w:val="nil"/>
            </w:tcBorders>
            <w:vAlign w:val="bottom"/>
          </w:tcPr>
          <w:p>
            <w:pPr>
              <w:widowControl/>
              <w:jc w:val="left"/>
              <w:rPr>
                <w:rFonts w:ascii="Arial" w:hAnsi="Arial" w:cs="Arial"/>
                <w:color w:val="000000"/>
                <w:kern w:val="0"/>
                <w:sz w:val="20"/>
                <w:szCs w:val="20"/>
              </w:rPr>
            </w:pPr>
          </w:p>
        </w:tc>
        <w:tc>
          <w:tcPr>
            <w:tcW w:w="3923" w:type="dxa"/>
            <w:tcBorders>
              <w:tl2br w:val="nil"/>
              <w:tr2bl w:val="nil"/>
            </w:tcBorders>
            <w:vAlign w:val="bottom"/>
          </w:tcPr>
          <w:p>
            <w:pPr>
              <w:widowControl/>
              <w:jc w:val="left"/>
              <w:rPr>
                <w:rFonts w:ascii="Arial" w:hAnsi="Arial" w:cs="Arial"/>
                <w:color w:val="000000"/>
                <w:kern w:val="0"/>
                <w:sz w:val="20"/>
                <w:szCs w:val="20"/>
              </w:rPr>
            </w:pPr>
          </w:p>
        </w:tc>
        <w:tc>
          <w:tcPr>
            <w:tcW w:w="1558" w:type="dxa"/>
            <w:tcBorders>
              <w:tl2br w:val="nil"/>
              <w:tr2bl w:val="nil"/>
            </w:tcBorders>
            <w:vAlign w:val="bottom"/>
          </w:tcPr>
          <w:p>
            <w:pPr>
              <w:widowControl/>
              <w:jc w:val="left"/>
              <w:rPr>
                <w:rFonts w:ascii="Arial" w:hAnsi="Arial" w:cs="Arial"/>
                <w:color w:val="000000"/>
                <w:kern w:val="0"/>
                <w:sz w:val="20"/>
                <w:szCs w:val="20"/>
              </w:rPr>
            </w:pPr>
          </w:p>
        </w:tc>
        <w:tc>
          <w:tcPr>
            <w:tcW w:w="1419" w:type="dxa"/>
            <w:tcBorders>
              <w:tl2br w:val="nil"/>
              <w:tr2bl w:val="nil"/>
            </w:tcBorders>
            <w:vAlign w:val="bottom"/>
          </w:tcPr>
          <w:p>
            <w:pPr>
              <w:widowControl/>
              <w:jc w:val="left"/>
              <w:rPr>
                <w:rFonts w:ascii="Arial" w:hAnsi="Arial" w:cs="Arial"/>
                <w:color w:val="000000"/>
                <w:kern w:val="0"/>
                <w:sz w:val="20"/>
                <w:szCs w:val="20"/>
              </w:rPr>
            </w:pPr>
          </w:p>
        </w:tc>
        <w:tc>
          <w:tcPr>
            <w:tcW w:w="1489" w:type="dxa"/>
            <w:tcBorders>
              <w:tl2br w:val="nil"/>
              <w:tr2bl w:val="nil"/>
            </w:tcBorders>
            <w:vAlign w:val="bottom"/>
          </w:tcPr>
          <w:p>
            <w:pPr>
              <w:widowControl/>
              <w:jc w:val="left"/>
              <w:rPr>
                <w:rFonts w:ascii="Arial" w:hAnsi="Arial" w:cs="Arial"/>
                <w:color w:val="000000"/>
                <w:kern w:val="0"/>
                <w:sz w:val="20"/>
                <w:szCs w:val="20"/>
              </w:rPr>
            </w:pPr>
          </w:p>
        </w:tc>
        <w:tc>
          <w:tcPr>
            <w:tcW w:w="1142" w:type="dxa"/>
            <w:tcBorders>
              <w:tl2br w:val="nil"/>
              <w:tr2bl w:val="nil"/>
            </w:tcBorders>
            <w:vAlign w:val="bottom"/>
          </w:tcPr>
          <w:p>
            <w:pPr>
              <w:widowControl/>
              <w:jc w:val="left"/>
              <w:rPr>
                <w:rFonts w:ascii="Arial" w:hAnsi="Arial" w:cs="Arial"/>
                <w:color w:val="000000"/>
                <w:kern w:val="0"/>
                <w:sz w:val="20"/>
                <w:szCs w:val="20"/>
              </w:rPr>
            </w:pPr>
          </w:p>
        </w:tc>
        <w:tc>
          <w:tcPr>
            <w:tcW w:w="1108" w:type="dxa"/>
            <w:tcBorders>
              <w:tl2br w:val="nil"/>
              <w:tr2bl w:val="nil"/>
            </w:tcBorders>
            <w:vAlign w:val="bottom"/>
          </w:tcPr>
          <w:p>
            <w:pPr>
              <w:widowControl/>
              <w:jc w:val="left"/>
              <w:rPr>
                <w:rFonts w:ascii="Arial" w:hAnsi="Arial" w:cs="Arial"/>
                <w:color w:val="000000"/>
                <w:kern w:val="0"/>
                <w:sz w:val="20"/>
                <w:szCs w:val="20"/>
              </w:rPr>
            </w:pPr>
          </w:p>
        </w:tc>
        <w:tc>
          <w:tcPr>
            <w:tcW w:w="2249" w:type="dxa"/>
            <w:tcBorders>
              <w:tl2br w:val="nil"/>
              <w:tr2bl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CellMar>
            <w:top w:w="0" w:type="dxa"/>
            <w:left w:w="108" w:type="dxa"/>
            <w:bottom w:w="0" w:type="dxa"/>
            <w:right w:w="108" w:type="dxa"/>
          </w:tblCellMar>
        </w:tblPrEx>
        <w:trPr>
          <w:trHeight w:val="315" w:hRule="atLeast"/>
        </w:trPr>
        <w:tc>
          <w:tcPr>
            <w:tcW w:w="5117" w:type="dxa"/>
            <w:gridSpan w:val="4"/>
            <w:tcBorders>
              <w:bottom w:val="single" w:color="000000" w:sz="4" w:space="0"/>
              <w:tl2br w:val="nil"/>
              <w:tr2bl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Cs w:val="21"/>
              </w:rPr>
              <w:t>中卫市沙坡头区农业技术推广服务中心</w:t>
            </w:r>
          </w:p>
        </w:tc>
        <w:tc>
          <w:tcPr>
            <w:tcW w:w="1558"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419" w:type="dxa"/>
            <w:tcBorders>
              <w:bottom w:val="single" w:color="000000" w:sz="4" w:space="0"/>
              <w:tl2br w:val="nil"/>
              <w:tr2bl w:val="nil"/>
            </w:tcBorders>
            <w:vAlign w:val="bottom"/>
          </w:tcPr>
          <w:p>
            <w:pPr>
              <w:widowControl/>
              <w:jc w:val="center"/>
              <w:rPr>
                <w:rFonts w:ascii="宋体" w:hAnsi="宋体" w:cs="Arial"/>
                <w:color w:val="000000"/>
                <w:kern w:val="0"/>
                <w:sz w:val="24"/>
              </w:rPr>
            </w:pPr>
          </w:p>
        </w:tc>
        <w:tc>
          <w:tcPr>
            <w:tcW w:w="1489"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142"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108"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2249" w:type="dxa"/>
            <w:tcBorders>
              <w:bottom w:val="single" w:color="000000" w:sz="4" w:space="0"/>
              <w:tl2br w:val="nil"/>
              <w:tr2bl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511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55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141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48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114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上缴上级支出</w:t>
            </w:r>
          </w:p>
        </w:tc>
        <w:tc>
          <w:tcPr>
            <w:tcW w:w="11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经营支出</w:t>
            </w:r>
          </w:p>
        </w:tc>
        <w:tc>
          <w:tcPr>
            <w:tcW w:w="224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对附属单位补助支出</w:t>
            </w:r>
          </w:p>
        </w:tc>
      </w:tr>
      <w:tr>
        <w:tblPrEx>
          <w:tblCellMar>
            <w:top w:w="0" w:type="dxa"/>
            <w:left w:w="108" w:type="dxa"/>
            <w:bottom w:w="0" w:type="dxa"/>
            <w:right w:w="108" w:type="dxa"/>
          </w:tblCellMar>
        </w:tblPrEx>
        <w:trPr>
          <w:trHeight w:val="321" w:hRule="atLeast"/>
        </w:trPr>
        <w:tc>
          <w:tcPr>
            <w:tcW w:w="1194"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392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5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1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22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21" w:hRule="atLeast"/>
        </w:trPr>
        <w:tc>
          <w:tcPr>
            <w:tcW w:w="1194"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392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1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22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21" w:hRule="atLeast"/>
        </w:trPr>
        <w:tc>
          <w:tcPr>
            <w:tcW w:w="1194"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392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1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22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3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8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43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r>
      <w:tr>
        <w:tblPrEx>
          <w:tblCellMar>
            <w:top w:w="0" w:type="dxa"/>
            <w:left w:w="108" w:type="dxa"/>
            <w:bottom w:w="0" w:type="dxa"/>
            <w:right w:w="108" w:type="dxa"/>
          </w:tblCellMar>
        </w:tblPrEx>
        <w:trPr>
          <w:trHeight w:val="308" w:hRule="atLeast"/>
        </w:trPr>
        <w:tc>
          <w:tcPr>
            <w:tcW w:w="3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3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43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sz w:val="22"/>
                <w:szCs w:val="22"/>
              </w:rPr>
            </w:pPr>
            <w:r>
              <w:rPr>
                <w:rFonts w:hint="eastAsia" w:cs="Arial"/>
                <w:b/>
                <w:bCs/>
                <w:color w:val="000000"/>
                <w:sz w:val="22"/>
                <w:szCs w:val="22"/>
              </w:rPr>
              <w:t>83,761,788.79</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sz w:val="18"/>
                <w:szCs w:val="18"/>
              </w:rPr>
            </w:pPr>
            <w:r>
              <w:rPr>
                <w:rFonts w:hint="eastAsia" w:cs="Arial"/>
                <w:b/>
                <w:bCs/>
                <w:color w:val="000000"/>
                <w:sz w:val="18"/>
                <w:szCs w:val="18"/>
              </w:rPr>
              <w:t>15,517,399.96</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sz w:val="18"/>
                <w:szCs w:val="18"/>
              </w:rPr>
            </w:pPr>
            <w:r>
              <w:rPr>
                <w:rFonts w:hint="eastAsia" w:cs="Arial"/>
                <w:b/>
                <w:bCs/>
                <w:color w:val="000000"/>
                <w:sz w:val="18"/>
                <w:szCs w:val="18"/>
              </w:rPr>
              <w:t>68,244,388.83</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1,357,085.36</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1,357,085.36</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行政事业单位离退休</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1,357,085.36</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1,357,085.36</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1,084,621.82</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1,084,621.82</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2080506</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169,965.54</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169,965.54</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其他行政事业单位离退休支出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102,498.00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102,498.00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21011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2101102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769,064.86</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节能环保支出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699,629.00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699,629.00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21199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其他节能环保支出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699,629.00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699,629.00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2119901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其他节能环保支出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699,629.00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699,629.00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农林水支出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79,806,388.57</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12,261,628.74</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67,544,759.83</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农业</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79,806,388.57</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12,261,628.74</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67,544,759.83</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2130104</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事业运行</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12,261,628.74</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12,261,628.74</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2130106</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科技转化与推广服务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5,610,280.90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5,610,280.90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2130108</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病虫害控制</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365,975.00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365,975.00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2130109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农产品质量安全</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112,581.96</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112,581.96</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2130119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防灾救灾</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223,500.00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223,500.00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2130122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农业生产支持补贴</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11,379,934.00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11,379,934.00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2130124</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农业组织化与产业化经营</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250,000.00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250,000.00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2130135</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农业资源保护修复与利用</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6,255,400.00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6,255,400.00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其他农业支出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43,347,087.97</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43,347,087.97</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2210201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1,129,621.00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textAlignment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CellMar>
            <w:top w:w="0" w:type="dxa"/>
            <w:left w:w="108" w:type="dxa"/>
            <w:bottom w:w="0" w:type="dxa"/>
            <w:right w:w="108" w:type="dxa"/>
          </w:tblCellMar>
        </w:tblPrEx>
        <w:trPr>
          <w:trHeight w:val="90" w:hRule="atLeast"/>
        </w:trPr>
        <w:tc>
          <w:tcPr>
            <w:tcW w:w="14082" w:type="dxa"/>
            <w:gridSpan w:val="10"/>
            <w:tcBorders>
              <w:tl2br w:val="nil"/>
              <w:tr2bl w:val="nil"/>
            </w:tcBorders>
            <w:vAlign w:val="bottom"/>
          </w:tcPr>
          <w:p>
            <w:pPr>
              <w:widowControl/>
              <w:jc w:val="left"/>
              <w:rPr>
                <w:rFonts w:ascii="宋体" w:hAnsi="宋体" w:cs="Arial"/>
                <w:color w:val="000000"/>
                <w:kern w:val="0"/>
                <w:sz w:val="22"/>
                <w:szCs w:val="22"/>
              </w:rPr>
            </w:pPr>
          </w:p>
        </w:tc>
      </w:tr>
    </w:tbl>
    <w:p>
      <w:pPr>
        <w:spacing w:line="580" w:lineRule="exact"/>
      </w:pPr>
    </w:p>
    <w:p>
      <w:pPr>
        <w:pStyle w:val="2"/>
      </w:pPr>
    </w:p>
    <w:p>
      <w:pPr>
        <w:pStyle w:val="2"/>
      </w:pPr>
    </w:p>
    <w:p>
      <w:pPr>
        <w:pStyle w:val="2"/>
      </w:pPr>
    </w:p>
    <w:p>
      <w:pPr>
        <w:pStyle w:val="2"/>
      </w:pPr>
    </w:p>
    <w:p>
      <w:pPr>
        <w:spacing w:line="580" w:lineRule="exact"/>
      </w:pPr>
    </w:p>
    <w:p>
      <w:pPr>
        <w:pStyle w:val="2"/>
      </w:pPr>
    </w:p>
    <w:p>
      <w:pPr>
        <w:pStyle w:val="2"/>
      </w:pPr>
    </w:p>
    <w:p/>
    <w:p/>
    <w:p/>
    <w:p/>
    <w:p>
      <w:pPr>
        <w:pStyle w:val="2"/>
      </w:pPr>
    </w:p>
    <w:p>
      <w:pPr>
        <w:spacing w:line="580" w:lineRule="exact"/>
      </w:pPr>
    </w:p>
    <w:p>
      <w:pPr>
        <w:spacing w:line="580" w:lineRule="exact"/>
      </w:pPr>
    </w:p>
    <w:p>
      <w:pPr>
        <w:spacing w:line="580" w:lineRule="exact"/>
      </w:pPr>
    </w:p>
    <w:p>
      <w:pPr>
        <w:spacing w:line="580" w:lineRule="exact"/>
      </w:pPr>
    </w:p>
    <w:tbl>
      <w:tblPr>
        <w:tblStyle w:val="4"/>
        <w:tblW w:w="15135" w:type="dxa"/>
        <w:jc w:val="center"/>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CellMar>
            <w:top w:w="0" w:type="dxa"/>
            <w:left w:w="108" w:type="dxa"/>
            <w:bottom w:w="0" w:type="dxa"/>
            <w:right w:w="108" w:type="dxa"/>
          </w:tblCellMar>
        </w:tblPrEx>
        <w:trPr>
          <w:trHeight w:val="582" w:hRule="atLeast"/>
          <w:jc w:val="center"/>
        </w:trPr>
        <w:tc>
          <w:tcPr>
            <w:tcW w:w="15135" w:type="dxa"/>
            <w:gridSpan w:val="14"/>
            <w:tcBorders>
              <w:top w:val="nil"/>
              <w:left w:val="nil"/>
              <w:bottom w:val="nil"/>
              <w:right w:val="nil"/>
            </w:tcBorders>
            <w:vAlign w:val="bottom"/>
          </w:tcPr>
          <w:p>
            <w:pPr>
              <w:widowControl/>
              <w:jc w:val="center"/>
              <w:rPr>
                <w:rFonts w:ascii="方正小标宋_GBK" w:hAnsi="方正小标宋_GBK" w:eastAsia="方正小标宋_GBK" w:cs="方正小标宋_GBK"/>
                <w:color w:val="000000"/>
                <w:kern w:val="0"/>
                <w:sz w:val="36"/>
                <w:szCs w:val="36"/>
              </w:rPr>
            </w:pPr>
          </w:p>
          <w:p>
            <w:pPr>
              <w:widowControl/>
              <w:jc w:val="center"/>
              <w:rPr>
                <w:rFonts w:ascii="方正小标宋_GBK" w:hAnsi="方正小标宋_GBK" w:eastAsia="方正小标宋_GBK" w:cs="方正小标宋_GBK"/>
                <w:color w:val="000000"/>
                <w:kern w:val="0"/>
                <w:sz w:val="36"/>
                <w:szCs w:val="36"/>
              </w:rPr>
            </w:pPr>
          </w:p>
          <w:p>
            <w:pPr>
              <w:widowControl/>
              <w:jc w:val="center"/>
              <w:rPr>
                <w:rFonts w:ascii="方正小标宋_GBK" w:hAnsi="方正小标宋_GBK" w:eastAsia="方正小标宋_GBK" w:cs="方正小标宋_GBK"/>
                <w:color w:val="000000"/>
                <w:kern w:val="0"/>
                <w:sz w:val="36"/>
                <w:szCs w:val="36"/>
              </w:rPr>
            </w:pPr>
          </w:p>
          <w:p>
            <w:pPr>
              <w:widowControl/>
              <w:jc w:val="center"/>
              <w:rPr>
                <w:rFonts w:ascii="宋体" w:hAnsi="宋体" w:cs="Arial"/>
                <w:color w:val="000000"/>
                <w:kern w:val="0"/>
                <w:sz w:val="40"/>
                <w:szCs w:val="40"/>
              </w:rPr>
            </w:pPr>
            <w:r>
              <w:rPr>
                <w:rFonts w:hint="eastAsia" w:ascii="方正小标宋_GBK" w:hAnsi="方正小标宋_GBK" w:eastAsia="方正小标宋_GBK" w:cs="方正小标宋_GBK"/>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公开部门：中卫市沙坡头区农业技术推广服务中</w:t>
            </w:r>
            <w:r>
              <w:rPr>
                <w:rFonts w:hint="eastAsia" w:ascii="宋体" w:hAnsi="宋体" w:cs="Arial"/>
                <w:color w:val="000000"/>
                <w:kern w:val="0"/>
                <w:sz w:val="20"/>
                <w:szCs w:val="20"/>
              </w:rPr>
              <w:t>心</w:t>
            </w: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628"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628"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15,517,399.96</w:t>
            </w:r>
          </w:p>
          <w:p>
            <w:pPr>
              <w:widowControl/>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1,357,085.36</w:t>
            </w: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1,357,085.36</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769,064.86</w:t>
            </w: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769,064.86</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12,261,628.74</w:t>
            </w:r>
          </w:p>
        </w:tc>
        <w:tc>
          <w:tcPr>
            <w:tcW w:w="2112" w:type="dxa"/>
            <w:gridSpan w:val="3"/>
            <w:tcBorders>
              <w:top w:val="nil"/>
              <w:left w:val="nil"/>
              <w:bottom w:val="single" w:color="auto"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12,261,628.74</w:t>
            </w:r>
          </w:p>
        </w:tc>
        <w:tc>
          <w:tcPr>
            <w:tcW w:w="2295" w:type="dxa"/>
            <w:gridSpan w:val="2"/>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single" w:color="auto" w:sz="4" w:space="0"/>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1,129,621.00</w:t>
            </w: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1,129,621.00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二十三、债务还本支出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834"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15,517,399.96</w:t>
            </w:r>
          </w:p>
        </w:tc>
        <w:tc>
          <w:tcPr>
            <w:tcW w:w="2978"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15,517,399.96</w:t>
            </w: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15,517,399.96</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834"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052" w:type="dxa"/>
            <w:gridSpan w:val="2"/>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834" w:type="dxa"/>
            <w:gridSpan w:val="3"/>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834" w:type="dxa"/>
            <w:gridSpan w:val="3"/>
            <w:tcBorders>
              <w:top w:val="nil"/>
              <w:left w:val="nil"/>
              <w:bottom w:val="single" w:color="auto"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978"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p>
        </w:tc>
        <w:tc>
          <w:tcPr>
            <w:tcW w:w="2052" w:type="dxa"/>
            <w:gridSpan w:val="2"/>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15,517,399.96</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205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15,517,399.96</w:t>
            </w:r>
          </w:p>
        </w:tc>
        <w:tc>
          <w:tcPr>
            <w:tcW w:w="2112"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15,517,399.96</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15135" w:type="dxa"/>
            <w:gridSpan w:val="14"/>
            <w:tcBorders>
              <w:top w:val="single" w:color="auto" w:sz="4" w:space="0"/>
              <w:left w:val="nil"/>
              <w:bottom w:val="nil"/>
              <w:right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pPr>
    </w:p>
    <w:p>
      <w:pPr>
        <w:spacing w:line="580" w:lineRule="exact"/>
      </w:pPr>
    </w:p>
    <w:p>
      <w:pPr>
        <w:spacing w:line="580" w:lineRule="exact"/>
      </w:pPr>
    </w:p>
    <w:tbl>
      <w:tblPr>
        <w:tblStyle w:val="4"/>
        <w:tblW w:w="11147" w:type="dxa"/>
        <w:jc w:val="center"/>
        <w:tblLayout w:type="fixed"/>
        <w:tblCellMar>
          <w:top w:w="0" w:type="dxa"/>
          <w:left w:w="108" w:type="dxa"/>
          <w:bottom w:w="0" w:type="dxa"/>
          <w:right w:w="108" w:type="dxa"/>
        </w:tblCellMar>
      </w:tblPr>
      <w:tblGrid>
        <w:gridCol w:w="345"/>
        <w:gridCol w:w="426"/>
        <w:gridCol w:w="416"/>
        <w:gridCol w:w="3750"/>
        <w:gridCol w:w="1936"/>
        <w:gridCol w:w="2285"/>
        <w:gridCol w:w="1989"/>
      </w:tblGrid>
      <w:tr>
        <w:tblPrEx>
          <w:tblCellMar>
            <w:top w:w="0" w:type="dxa"/>
            <w:left w:w="108" w:type="dxa"/>
            <w:bottom w:w="0" w:type="dxa"/>
            <w:right w:w="108" w:type="dxa"/>
          </w:tblCellMar>
        </w:tblPrEx>
        <w:trPr>
          <w:trHeight w:val="1053" w:hRule="atLeast"/>
          <w:jc w:val="center"/>
        </w:trPr>
        <w:tc>
          <w:tcPr>
            <w:tcW w:w="11147" w:type="dxa"/>
            <w:gridSpan w:val="7"/>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3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75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8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89"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4937" w:type="dxa"/>
            <w:gridSpan w:val="4"/>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18"/>
                <w:szCs w:val="18"/>
              </w:rPr>
              <w:t>中卫市沙坡头区农业技术推广服务中心</w:t>
            </w:r>
          </w:p>
        </w:tc>
        <w:tc>
          <w:tcPr>
            <w:tcW w:w="19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85" w:type="dxa"/>
            <w:tcBorders>
              <w:top w:val="nil"/>
              <w:left w:val="nil"/>
              <w:bottom w:val="nil"/>
              <w:right w:val="nil"/>
            </w:tcBorders>
            <w:vAlign w:val="bottom"/>
          </w:tcPr>
          <w:p>
            <w:pPr>
              <w:widowControl/>
              <w:jc w:val="center"/>
              <w:rPr>
                <w:rFonts w:ascii="宋体" w:hAnsi="宋体" w:cs="Arial"/>
                <w:color w:val="000000"/>
                <w:kern w:val="0"/>
                <w:sz w:val="24"/>
              </w:rPr>
            </w:pPr>
          </w:p>
        </w:tc>
        <w:tc>
          <w:tcPr>
            <w:tcW w:w="1989"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4937"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93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28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98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jc w:val="center"/>
        </w:trPr>
        <w:tc>
          <w:tcPr>
            <w:tcW w:w="1187"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75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187"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187"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345"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2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1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5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93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2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98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345"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5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936"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15,517,399.96</w:t>
            </w:r>
          </w:p>
        </w:tc>
        <w:tc>
          <w:tcPr>
            <w:tcW w:w="22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bCs/>
                <w:color w:val="000000"/>
                <w:sz w:val="18"/>
                <w:szCs w:val="18"/>
              </w:rPr>
            </w:pPr>
            <w:r>
              <w:rPr>
                <w:rFonts w:hint="eastAsia" w:cs="Arial"/>
                <w:b/>
                <w:bCs/>
                <w:color w:val="000000"/>
                <w:sz w:val="22"/>
                <w:szCs w:val="22"/>
              </w:rPr>
              <w:t>15,517,399.96</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bCs/>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1,357,085.36</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1,357,085.36</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行政事业单位离退休</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1,357,085.36</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1,357,085.36</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1,084,621.82</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1,084,621.82</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2080506</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169,965.54</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169,965.54</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2080599</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其他行政事业单位离退休支出</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102,498.00</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102,498.00</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769,064.86</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769,064.86</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21011</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769,064.86</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769,064.86</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2101102</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769,064.86</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769,064.86</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农林水支出</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12,261,628.74</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12,261,628.74</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农业</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12,261,628.74</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12,261,628.74</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2130104</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事业运行</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12,261,628.74</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12,261,628.74</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1,129,621.00</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1,129,621.00</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1,129,621.00</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1,129,621.00</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2210201</w:t>
            </w:r>
          </w:p>
        </w:tc>
        <w:tc>
          <w:tcPr>
            <w:tcW w:w="375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93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1,129,621.00</w:t>
            </w:r>
          </w:p>
        </w:tc>
        <w:tc>
          <w:tcPr>
            <w:tcW w:w="2285"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1,129,621.00</w:t>
            </w: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3750" w:type="dxa"/>
            <w:tcBorders>
              <w:top w:val="nil"/>
              <w:left w:val="nil"/>
              <w:bottom w:val="single" w:color="000000" w:sz="8" w:space="0"/>
              <w:right w:val="single" w:color="000000" w:sz="4" w:space="0"/>
            </w:tcBorders>
            <w:vAlign w:val="center"/>
          </w:tcPr>
          <w:p>
            <w:pPr>
              <w:widowControl/>
              <w:jc w:val="left"/>
              <w:textAlignment w:val="center"/>
              <w:rPr>
                <w:rFonts w:ascii="宋体" w:hAnsi="宋体" w:cs="宋体"/>
                <w:color w:val="000000"/>
                <w:sz w:val="18"/>
                <w:szCs w:val="18"/>
              </w:rPr>
            </w:pPr>
          </w:p>
        </w:tc>
        <w:tc>
          <w:tcPr>
            <w:tcW w:w="1936"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2285"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c>
          <w:tcPr>
            <w:tcW w:w="1989" w:type="dxa"/>
            <w:tcBorders>
              <w:top w:val="nil"/>
              <w:left w:val="nil"/>
              <w:bottom w:val="single" w:color="000000" w:sz="8"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jc w:val="center"/>
        </w:trPr>
        <w:tc>
          <w:tcPr>
            <w:tcW w:w="11147" w:type="dxa"/>
            <w:gridSpan w:val="7"/>
            <w:tcBorders>
              <w:top w:val="single" w:color="000000" w:sz="8"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tcMar>
              <w:top w:w="12" w:type="dxa"/>
              <w:left w:w="12" w:type="dxa"/>
              <w:right w:w="12" w:type="dxa"/>
            </w:tcMar>
            <w:vAlign w:val="center"/>
          </w:tcPr>
          <w:p>
            <w:pPr>
              <w:widowControl/>
              <w:jc w:val="center"/>
              <w:textAlignment w:val="center"/>
              <w:rPr>
                <w:rFonts w:ascii="宋体" w:hAnsi="宋体" w:cs="Arial"/>
                <w:b/>
                <w:bCs/>
                <w:color w:val="000000"/>
                <w:kern w:val="0"/>
                <w:sz w:val="36"/>
                <w:szCs w:val="36"/>
              </w:rPr>
            </w:pPr>
          </w:p>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ascii="宋体" w:hAnsi="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tcMar>
              <w:top w:w="12" w:type="dxa"/>
              <w:left w:w="12" w:type="dxa"/>
              <w:right w:w="12" w:type="dxa"/>
            </w:tcMar>
            <w:vAlign w:val="center"/>
          </w:tcPr>
          <w:p>
            <w:pPr>
              <w:widowControl/>
              <w:jc w:val="left"/>
              <w:textAlignment w:val="center"/>
              <w:rPr>
                <w:rFonts w:hint="eastAsia" w:ascii="Arial" w:hAnsi="Arial" w:eastAsia="宋体" w:cs="Arial"/>
                <w:color w:val="000000"/>
                <w:szCs w:val="21"/>
                <w:lang w:eastAsia="zh-CN"/>
              </w:rPr>
            </w:pPr>
            <w:r>
              <w:rPr>
                <w:rFonts w:hint="eastAsia" w:ascii="Arial" w:hAnsi="Arial" w:cs="Arial"/>
                <w:color w:val="000000"/>
                <w:kern w:val="0"/>
                <w:szCs w:val="21"/>
              </w:rPr>
              <w:t>公开</w:t>
            </w:r>
            <w:r>
              <w:rPr>
                <w:rFonts w:ascii="Arial" w:hAnsi="Arial" w:cs="Arial"/>
                <w:color w:val="000000"/>
                <w:kern w:val="0"/>
                <w:szCs w:val="21"/>
              </w:rPr>
              <w:t>部门：</w:t>
            </w:r>
            <w:r>
              <w:rPr>
                <w:rFonts w:hint="eastAsia" w:ascii="宋体" w:hAnsi="宋体" w:cs="Arial"/>
                <w:color w:val="000000"/>
                <w:kern w:val="0"/>
                <w:szCs w:val="21"/>
                <w:lang w:eastAsia="zh-CN"/>
              </w:rPr>
              <w:t>中卫市沙坡头区农业技术推广服务中心</w:t>
            </w:r>
          </w:p>
        </w:tc>
        <w:tc>
          <w:tcPr>
            <w:tcW w:w="7890" w:type="dxa"/>
            <w:gridSpan w:val="6"/>
            <w:tcBorders>
              <w:top w:val="nil"/>
              <w:left w:val="nil"/>
              <w:bottom w:val="nil"/>
              <w:right w:val="nil"/>
            </w:tcBorders>
            <w:tcMar>
              <w:top w:w="12" w:type="dxa"/>
              <w:left w:w="12" w:type="dxa"/>
              <w:right w:w="12" w:type="dxa"/>
            </w:tcMar>
            <w:vAlign w:val="center"/>
          </w:tcPr>
          <w:p>
            <w:pPr>
              <w:rPr>
                <w:rFonts w:ascii="Arial" w:hAnsi="Arial" w:cs="Arial"/>
                <w:color w:val="000000"/>
                <w:szCs w:val="21"/>
              </w:rPr>
            </w:pPr>
          </w:p>
        </w:tc>
        <w:tc>
          <w:tcPr>
            <w:tcW w:w="1436" w:type="dxa"/>
            <w:gridSpan w:val="2"/>
            <w:tcBorders>
              <w:top w:val="nil"/>
              <w:left w:val="nil"/>
              <w:bottom w:val="nil"/>
              <w:right w:val="nil"/>
            </w:tcBorders>
            <w:tcMar>
              <w:top w:w="12" w:type="dxa"/>
              <w:left w:w="12" w:type="dxa"/>
              <w:right w:w="12"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金额单位：元</w:t>
            </w:r>
            <w:r>
              <w:rPr>
                <w:rFonts w:hint="eastAsia" w:ascii="宋体" w:hAnsi="宋体" w:cs="宋体"/>
                <w:vanish/>
                <w:color w:val="000000"/>
                <w:kern w:val="0"/>
                <w:szCs w:val="21"/>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tcMar>
              <w:top w:w="12" w:type="dxa"/>
              <w:left w:w="12" w:type="dxa"/>
              <w:right w:w="12" w:type="dxa"/>
            </w:tcMa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人员经费</w:t>
            </w:r>
          </w:p>
        </w:tc>
        <w:tc>
          <w:tcPr>
            <w:tcW w:w="9326" w:type="dxa"/>
            <w:gridSpan w:val="8"/>
            <w:tcBorders>
              <w:top w:val="single" w:color="auto" w:sz="8" w:space="0"/>
              <w:left w:val="single" w:color="auto" w:sz="4" w:space="0"/>
              <w:bottom w:val="single" w:color="auto" w:sz="4" w:space="0"/>
              <w:right w:val="single" w:color="auto" w:sz="8" w:space="0"/>
            </w:tcBorders>
            <w:tcMar>
              <w:top w:w="12" w:type="dxa"/>
              <w:left w:w="12" w:type="dxa"/>
              <w:right w:w="12" w:type="dxa"/>
            </w:tcMa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科目编码</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科目名称</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Arial" w:hAnsi="Arial" w:cs="Arial"/>
                <w:color w:val="000000"/>
                <w:sz w:val="15"/>
                <w:szCs w:val="15"/>
              </w:rPr>
            </w:pPr>
            <w:r>
              <w:rPr>
                <w:rFonts w:hint="eastAsia" w:ascii="宋体" w:hAnsi="宋体" w:cs="宋体"/>
                <w:color w:val="000000"/>
                <w:kern w:val="0"/>
                <w:sz w:val="15"/>
                <w:szCs w:val="15"/>
              </w:rPr>
              <w:t>金额</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科目编码</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科目名称</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Arial" w:hAnsi="Arial" w:cs="Arial"/>
                <w:color w:val="000000"/>
                <w:sz w:val="15"/>
                <w:szCs w:val="15"/>
              </w:rPr>
            </w:pPr>
            <w:r>
              <w:rPr>
                <w:rFonts w:hint="eastAsia" w:ascii="宋体" w:hAnsi="宋体" w:cs="宋体"/>
                <w:color w:val="000000"/>
                <w:kern w:val="0"/>
                <w:sz w:val="15"/>
                <w:szCs w:val="15"/>
              </w:rPr>
              <w:t>金额</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科目编码</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科目名称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widowControl/>
              <w:jc w:val="center"/>
              <w:textAlignment w:val="center"/>
              <w:rPr>
                <w:rFonts w:ascii="Arial" w:hAnsi="Arial" w:cs="Arial"/>
                <w:color w:val="000000"/>
                <w:sz w:val="15"/>
                <w:szCs w:val="15"/>
              </w:rPr>
            </w:pPr>
            <w:r>
              <w:rPr>
                <w:rFonts w:hint="eastAsia" w:ascii="Arial" w:hAnsi="Arial" w:cs="Arial"/>
                <w:color w:val="000000"/>
                <w:sz w:val="15"/>
                <w:szCs w:val="15"/>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15,063,941.96</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商品和服务支出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344,000.00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基本工资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3,982,526.00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办公费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25,294.90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津贴补贴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3,407,240.00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印刷费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4,351.00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奖金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2,318,586.00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咨询费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伙食补助费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手续费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基础设施建设</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绩效工资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2,202,316.74</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30205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水费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大型修缮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1,084,621.82</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30206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职业年金缴费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169,965.54</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邮电费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10,267.39</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物资储备</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769,064.86</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30208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取暖费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18,905.80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31009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土地补偿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30111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30209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物业管理费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17,820.00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安置补助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30112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30211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差旅费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36,200.50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31011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30113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住房公积金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1,129,621.00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30212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拆迁补偿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30114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医疗费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30213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维修（护）费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29,135.54</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31013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公务用车购置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30199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30214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租赁费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31019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109,458.00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30215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会议费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31021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离休费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30216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培训费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31022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 xml:space="preserve">  无形资产购置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退休费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102,498.00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30217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公务接待费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退职（役）费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30218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专用材料费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312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14"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30304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抚恤金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30224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被装购置费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31201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 xml:space="preserve">  资本金注入</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30305</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生活补助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6,960.00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30225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专用燃料费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31203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救济费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30226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劳务费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 xml:space="preserve">  费用补贴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医疗费补助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30227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委托业务费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31205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 xml:space="preserve">  利息补贴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助学金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30228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工会经费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62,890.80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31299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奖励金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30229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福利费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399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30231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24,000.00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39906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 xml:space="preserve">  赠与</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30399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其他对个人和家庭的补助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30239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其他交通费用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91,394.07</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39907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30240</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39908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spacing w:line="240" w:lineRule="exact"/>
              <w:textAlignment w:val="center"/>
              <w:rPr>
                <w:rFonts w:ascii="宋体" w:hAnsi="宋体" w:cs="宋体"/>
                <w:color w:val="000000"/>
                <w:sz w:val="16"/>
                <w:szCs w:val="16"/>
              </w:rPr>
            </w:pPr>
            <w:r>
              <w:rPr>
                <w:rFonts w:hint="eastAsia" w:ascii="宋体" w:hAnsi="宋体" w:cs="宋体"/>
                <w:color w:val="000000"/>
                <w:sz w:val="16"/>
                <w:szCs w:val="16"/>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30299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其他商品和服务支出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23,740.00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39999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6"/>
                <w:szCs w:val="16"/>
              </w:rPr>
            </w:pPr>
            <w:r>
              <w:rPr>
                <w:rFonts w:hint="eastAsia" w:ascii="宋体" w:hAnsi="宋体" w:cs="宋体"/>
                <w:color w:val="000000"/>
                <w:sz w:val="16"/>
                <w:szCs w:val="16"/>
              </w:rPr>
              <w:t xml:space="preserve">  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right"/>
              <w:rPr>
                <w:rFonts w:ascii="Arial" w:hAnsi="Arial" w:cs="Arial"/>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rPr>
                <w:rFonts w:ascii="宋体" w:hAnsi="宋体" w:cs="Arial"/>
                <w:color w:val="000000"/>
                <w:kern w:val="0"/>
                <w:sz w:val="22"/>
                <w:szCs w:val="22"/>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textAlignment w:val="center"/>
              <w:rPr>
                <w:rFonts w:ascii="宋体" w:hAnsi="宋体" w:cs="宋体"/>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textAlignment w:val="center"/>
              <w:rPr>
                <w:rFonts w:ascii="宋体" w:hAnsi="宋体" w:cs="宋体"/>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textAlignment w:val="center"/>
              <w:rPr>
                <w:rFonts w:ascii="宋体" w:hAnsi="宋体" w:cs="宋体"/>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textAlignment w:val="center"/>
              <w:rPr>
                <w:rFonts w:ascii="宋体" w:hAnsi="宋体" w:cs="宋体"/>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textAlignment w:val="center"/>
              <w:rPr>
                <w:rFonts w:ascii="宋体" w:hAnsi="宋体" w:cs="宋体"/>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宋体" w:hAnsi="宋体" w:cs="宋体"/>
                <w:color w:val="000000"/>
                <w:sz w:val="15"/>
                <w:szCs w:val="15"/>
              </w:rPr>
            </w:pPr>
            <w:r>
              <w:rPr>
                <w:rFonts w:hint="eastAsia" w:ascii="宋体" w:hAnsi="宋体" w:cs="宋体"/>
                <w:color w:val="000000"/>
                <w:kern w:val="0"/>
                <w:sz w:val="15"/>
                <w:szCs w:val="15"/>
              </w:rPr>
              <w:t>人员经费合计</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right"/>
              <w:rPr>
                <w:rFonts w:ascii="宋体" w:hAnsi="宋体" w:cs="Arial"/>
                <w:color w:val="000000"/>
                <w:sz w:val="22"/>
                <w:szCs w:val="22"/>
              </w:rPr>
            </w:pPr>
            <w:r>
              <w:rPr>
                <w:rFonts w:hint="eastAsia" w:cs="Arial"/>
                <w:color w:val="000000"/>
                <w:sz w:val="16"/>
                <w:szCs w:val="16"/>
              </w:rPr>
              <w:t>15,173,399.96</w:t>
            </w:r>
          </w:p>
          <w:p>
            <w:pPr>
              <w:widowControl/>
              <w:jc w:val="right"/>
              <w:textAlignment w:val="center"/>
              <w:rPr>
                <w:rFonts w:ascii="宋体" w:hAnsi="宋体" w:cs="宋体"/>
                <w:color w:val="000000"/>
                <w:kern w:val="0"/>
                <w:sz w:val="15"/>
                <w:szCs w:val="15"/>
              </w:rPr>
            </w:pPr>
          </w:p>
        </w:tc>
        <w:tc>
          <w:tcPr>
            <w:tcW w:w="8280" w:type="dxa"/>
            <w:gridSpan w:val="7"/>
            <w:tcBorders>
              <w:top w:val="single" w:color="auto" w:sz="4" w:space="0"/>
              <w:left w:val="single" w:color="auto" w:sz="4" w:space="0"/>
              <w:bottom w:val="single" w:color="auto" w:sz="4" w:space="0"/>
              <w:right w:val="single" w:color="auto" w:sz="4" w:space="0"/>
            </w:tcBorders>
          </w:tcPr>
          <w:p>
            <w:pPr>
              <w:widowControl/>
              <w:textAlignment w:val="center"/>
              <w:rPr>
                <w:rFonts w:ascii="宋体" w:hAnsi="宋体" w:cs="宋体"/>
                <w:color w:val="000000"/>
                <w:kern w:val="0"/>
                <w:sz w:val="15"/>
                <w:szCs w:val="15"/>
              </w:rPr>
            </w:pPr>
            <w:r>
              <w:rPr>
                <w:rFonts w:hint="eastAsia" w:ascii="宋体" w:hAnsi="宋体" w:cs="宋体"/>
                <w:color w:val="000000"/>
                <w:kern w:val="0"/>
                <w:sz w:val="15"/>
                <w:szCs w:val="15"/>
              </w:rPr>
              <w:t>公用经费合计</w:t>
            </w:r>
          </w:p>
        </w:tc>
        <w:tc>
          <w:tcPr>
            <w:tcW w:w="104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right"/>
              <w:rPr>
                <w:rFonts w:ascii="宋体" w:hAnsi="宋体" w:cs="Arial"/>
                <w:color w:val="000000"/>
                <w:sz w:val="16"/>
                <w:szCs w:val="16"/>
              </w:rPr>
            </w:pPr>
            <w:r>
              <w:rPr>
                <w:rFonts w:hint="eastAsia" w:cs="Arial"/>
                <w:color w:val="000000"/>
                <w:sz w:val="16"/>
                <w:szCs w:val="16"/>
              </w:rPr>
              <w:t>344,000.00</w:t>
            </w:r>
          </w:p>
          <w:p>
            <w:pPr>
              <w:jc w:val="right"/>
              <w:rPr>
                <w:rFonts w:ascii="Arial" w:hAnsi="Arial" w:cs="Arial"/>
                <w:color w:val="000000"/>
                <w:sz w:val="15"/>
                <w:szCs w:val="15"/>
              </w:rPr>
            </w:pP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hAnsi="宋体" w:cs="宋体"/>
                <w:color w:val="000000"/>
                <w:kern w:val="0"/>
                <w:sz w:val="15"/>
                <w:szCs w:val="15"/>
              </w:rPr>
            </w:pPr>
            <w:r>
              <w:rPr>
                <w:rFonts w:hint="eastAsia" w:ascii="宋体" w:hAnsi="宋体" w:cs="宋体"/>
                <w:color w:val="000000"/>
                <w:kern w:val="0"/>
                <w:sz w:val="15"/>
                <w:szCs w:val="15"/>
              </w:rPr>
              <w:t>合       计</w:t>
            </w:r>
          </w:p>
        </w:tc>
        <w:tc>
          <w:tcPr>
            <w:tcW w:w="10492" w:type="dxa"/>
            <w:gridSpan w:val="9"/>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sz w:val="15"/>
                <w:szCs w:val="15"/>
              </w:rPr>
            </w:pPr>
            <w:r>
              <w:rPr>
                <w:rFonts w:hint="eastAsia" w:ascii="Arial" w:hAnsi="Arial" w:cs="Arial"/>
                <w:sz w:val="15"/>
                <w:szCs w:val="15"/>
              </w:rPr>
              <w:t>15.517.399.96</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tcMar>
              <w:top w:w="12" w:type="dxa"/>
              <w:left w:w="12" w:type="dxa"/>
              <w:right w:w="12" w:type="dxa"/>
            </w:tcMar>
          </w:tcPr>
          <w:p>
            <w:pPr>
              <w:spacing w:line="400" w:lineRule="exact"/>
            </w:pPr>
            <w:r>
              <w:rPr>
                <w:rFonts w:hint="eastAsia" w:ascii="宋体" w:hAnsi="宋体" w:cs="Arial"/>
                <w:color w:val="000000"/>
                <w:kern w:val="0"/>
                <w:sz w:val="22"/>
                <w:szCs w:val="22"/>
              </w:rPr>
              <w:t>注：本表反映部门本年度一般公共预算财政拨款基本支出明细情况，数据取自财决08-1表</w:t>
            </w:r>
          </w:p>
          <w:p>
            <w:pPr>
              <w:rPr>
                <w:rFonts w:ascii="Arial" w:hAnsi="Arial" w:cs="Arial"/>
                <w:sz w:val="15"/>
                <w:szCs w:val="15"/>
              </w:rPr>
            </w:pPr>
          </w:p>
        </w:tc>
      </w:tr>
    </w:tbl>
    <w:p/>
    <w:p/>
    <w:p/>
    <w:p/>
    <w:p/>
    <w:p/>
    <w:p/>
    <w:p/>
    <w:p>
      <w:pPr>
        <w:tabs>
          <w:tab w:val="left" w:pos="1237"/>
        </w:tabs>
        <w:jc w:val="left"/>
      </w:pPr>
      <w:r>
        <w:rPr>
          <w:rFonts w:hint="eastAsia"/>
        </w:rPr>
        <w:tab/>
      </w:r>
      <w:r>
        <w:rPr>
          <w:rFonts w:hint="eastAsia"/>
        </w:rPr>
        <w:t>注：本表反映部门本年度一般公共预算财政拨款基本支出情况，按经济分类填列到款级科目，数据取自财决08-1表</w:t>
      </w:r>
    </w:p>
    <w:p>
      <w:pPr>
        <w:tabs>
          <w:tab w:val="left" w:pos="1237"/>
        </w:tabs>
        <w:jc w:val="left"/>
      </w:pPr>
    </w:p>
    <w:tbl>
      <w:tblPr>
        <w:tblStyle w:val="4"/>
        <w:tblW w:w="14963" w:type="dxa"/>
        <w:jc w:val="center"/>
        <w:tblLayout w:type="fixed"/>
        <w:tblCellMar>
          <w:top w:w="0" w:type="dxa"/>
          <w:left w:w="108" w:type="dxa"/>
          <w:bottom w:w="0" w:type="dxa"/>
          <w:right w:w="108" w:type="dxa"/>
        </w:tblCellMar>
      </w:tblPr>
      <w:tblGrid>
        <w:gridCol w:w="1133"/>
        <w:gridCol w:w="105"/>
        <w:gridCol w:w="975"/>
        <w:gridCol w:w="163"/>
        <w:gridCol w:w="687"/>
        <w:gridCol w:w="457"/>
        <w:gridCol w:w="1146"/>
        <w:gridCol w:w="1190"/>
        <w:gridCol w:w="1157"/>
        <w:gridCol w:w="1168"/>
        <w:gridCol w:w="92"/>
        <w:gridCol w:w="893"/>
        <w:gridCol w:w="156"/>
        <w:gridCol w:w="969"/>
        <w:gridCol w:w="1211"/>
        <w:gridCol w:w="280"/>
        <w:gridCol w:w="1134"/>
        <w:gridCol w:w="484"/>
        <w:gridCol w:w="1563"/>
      </w:tblGrid>
      <w:tr>
        <w:tblPrEx>
          <w:tblCellMar>
            <w:top w:w="0" w:type="dxa"/>
            <w:left w:w="108" w:type="dxa"/>
            <w:bottom w:w="0" w:type="dxa"/>
            <w:right w:w="108" w:type="dxa"/>
          </w:tblCellMar>
        </w:tblPrEx>
        <w:trPr>
          <w:trHeight w:val="1215" w:hRule="atLeast"/>
          <w:jc w:val="center"/>
        </w:trPr>
        <w:tc>
          <w:tcPr>
            <w:tcW w:w="14963" w:type="dxa"/>
            <w:gridSpan w:val="19"/>
            <w:tcBorders>
              <w:top w:val="nil"/>
              <w:left w:val="nil"/>
              <w:bottom w:val="nil"/>
              <w:right w:val="nil"/>
            </w:tcBorders>
            <w:vAlign w:val="bottom"/>
          </w:tcPr>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1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6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9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563"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7013" w:type="dxa"/>
            <w:gridSpan w:val="9"/>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Cs w:val="21"/>
                <w:lang w:eastAsia="zh-CN"/>
              </w:rPr>
              <w:t>中卫市沙</w:t>
            </w:r>
            <w:bookmarkStart w:id="0" w:name="_GoBack"/>
            <w:bookmarkEnd w:id="0"/>
            <w:r>
              <w:rPr>
                <w:rFonts w:hint="eastAsia" w:ascii="宋体" w:hAnsi="宋体" w:cs="Arial"/>
                <w:color w:val="000000"/>
                <w:kern w:val="0"/>
                <w:szCs w:val="21"/>
                <w:lang w:eastAsia="zh-CN"/>
              </w:rPr>
              <w:t>坡头区农业技术推广服务中心</w:t>
            </w:r>
          </w:p>
        </w:tc>
        <w:tc>
          <w:tcPr>
            <w:tcW w:w="126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9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563"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013"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2019年度预算数</w:t>
            </w:r>
          </w:p>
        </w:tc>
        <w:tc>
          <w:tcPr>
            <w:tcW w:w="7950"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2019年度决算数</w:t>
            </w:r>
          </w:p>
        </w:tc>
      </w:tr>
      <w:tr>
        <w:tblPrEx>
          <w:tblCellMar>
            <w:top w:w="0" w:type="dxa"/>
            <w:left w:w="108" w:type="dxa"/>
            <w:bottom w:w="0" w:type="dxa"/>
            <w:right w:w="108" w:type="dxa"/>
          </w:tblCellMar>
        </w:tblPrEx>
        <w:trPr>
          <w:trHeight w:val="570" w:hRule="atLeast"/>
          <w:jc w:val="center"/>
        </w:trPr>
        <w:tc>
          <w:tcPr>
            <w:tcW w:w="123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9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364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15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1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98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37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204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123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07" w:type="dxa"/>
            <w:gridSpan w:val="3"/>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14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21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41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w:t>
            </w: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运行费</w:t>
            </w:r>
          </w:p>
        </w:tc>
        <w:tc>
          <w:tcPr>
            <w:tcW w:w="204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123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07" w:type="dxa"/>
            <w:gridSpan w:val="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4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6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98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1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41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204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1238" w:type="dxa"/>
            <w:gridSpan w:val="2"/>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0"/>
                <w:szCs w:val="20"/>
              </w:rPr>
            </w:pPr>
            <w:r>
              <w:rPr>
                <w:rFonts w:hint="eastAsia" w:ascii="宋体" w:hAnsi="宋体" w:cs="宋体"/>
                <w:color w:val="000000"/>
                <w:kern w:val="0"/>
                <w:sz w:val="20"/>
                <w:szCs w:val="20"/>
              </w:rPr>
              <w:t>24</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000.00</w:t>
            </w:r>
          </w:p>
        </w:tc>
        <w:tc>
          <w:tcPr>
            <w:tcW w:w="97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0"/>
                <w:szCs w:val="20"/>
              </w:rPr>
            </w:pPr>
          </w:p>
        </w:tc>
        <w:tc>
          <w:tcPr>
            <w:tcW w:w="1307" w:type="dxa"/>
            <w:gridSpan w:val="3"/>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0"/>
                <w:szCs w:val="20"/>
              </w:rPr>
            </w:pPr>
            <w:r>
              <w:rPr>
                <w:rFonts w:hint="eastAsia" w:ascii="宋体" w:hAnsi="宋体" w:cs="宋体"/>
                <w:color w:val="000000"/>
                <w:kern w:val="0"/>
                <w:sz w:val="20"/>
                <w:szCs w:val="20"/>
              </w:rPr>
              <w:t>24</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000.00</w:t>
            </w:r>
          </w:p>
        </w:tc>
        <w:tc>
          <w:tcPr>
            <w:tcW w:w="1146"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0"/>
                <w:szCs w:val="20"/>
              </w:rPr>
            </w:pPr>
          </w:p>
        </w:tc>
        <w:tc>
          <w:tcPr>
            <w:tcW w:w="1190"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0"/>
                <w:szCs w:val="20"/>
              </w:rPr>
            </w:pPr>
            <w:r>
              <w:rPr>
                <w:rFonts w:hint="eastAsia" w:ascii="宋体" w:hAnsi="宋体" w:cs="宋体"/>
                <w:color w:val="000000"/>
                <w:kern w:val="0"/>
                <w:sz w:val="20"/>
                <w:szCs w:val="20"/>
              </w:rPr>
              <w:t>24</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000.00</w:t>
            </w:r>
          </w:p>
        </w:tc>
        <w:tc>
          <w:tcPr>
            <w:tcW w:w="1157"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0"/>
                <w:szCs w:val="20"/>
              </w:rPr>
            </w:pPr>
            <w:r>
              <w:rPr>
                <w:rFonts w:hint="eastAsia" w:ascii="宋体" w:hAnsi="宋体" w:cs="宋体"/>
                <w:color w:val="000000"/>
                <w:kern w:val="0"/>
                <w:sz w:val="20"/>
                <w:szCs w:val="20"/>
              </w:rPr>
              <w:t>0</w:t>
            </w:r>
          </w:p>
        </w:tc>
        <w:tc>
          <w:tcPr>
            <w:tcW w:w="1168"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0"/>
                <w:szCs w:val="20"/>
              </w:rPr>
            </w:pPr>
            <w:r>
              <w:rPr>
                <w:rFonts w:hint="eastAsia" w:ascii="宋体" w:hAnsi="宋体" w:cs="宋体"/>
                <w:color w:val="000000"/>
                <w:kern w:val="0"/>
                <w:sz w:val="20"/>
                <w:szCs w:val="20"/>
              </w:rPr>
              <w:t>24</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000.00</w:t>
            </w:r>
          </w:p>
        </w:tc>
        <w:tc>
          <w:tcPr>
            <w:tcW w:w="985" w:type="dxa"/>
            <w:gridSpan w:val="2"/>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p>
        </w:tc>
        <w:tc>
          <w:tcPr>
            <w:tcW w:w="1125" w:type="dxa"/>
            <w:gridSpan w:val="2"/>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宋体" w:hAnsi="宋体" w:cs="宋体"/>
                <w:color w:val="000000"/>
                <w:kern w:val="0"/>
                <w:sz w:val="20"/>
                <w:szCs w:val="20"/>
              </w:rPr>
              <w:t>24</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000.00</w:t>
            </w:r>
          </w:p>
        </w:tc>
        <w:tc>
          <w:tcPr>
            <w:tcW w:w="1211" w:type="dxa"/>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p>
        </w:tc>
        <w:tc>
          <w:tcPr>
            <w:tcW w:w="1414" w:type="dxa"/>
            <w:gridSpan w:val="2"/>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宋体" w:hAnsi="宋体" w:cs="宋体"/>
                <w:color w:val="000000"/>
                <w:kern w:val="0"/>
                <w:sz w:val="20"/>
                <w:szCs w:val="20"/>
              </w:rPr>
              <w:t>24</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000.00</w:t>
            </w:r>
          </w:p>
        </w:tc>
        <w:tc>
          <w:tcPr>
            <w:tcW w:w="2047"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4963" w:type="dxa"/>
            <w:gridSpan w:val="19"/>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注：2019年度预算数为“三公”经费全年预算数，反映按规定程序调整后的预算数；决算数是包括当年一般公共预算财政拨款和以前年度结转结余资金安排的实际支出，决算数据取自F03表。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5933" w:type="dxa"/>
            <w:gridSpan w:val="6"/>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Cs w:val="21"/>
                <w:lang w:eastAsia="zh-CN"/>
              </w:rPr>
              <w:t>中卫市沙坡头区农业技术推广服务中心</w:t>
            </w: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0.00</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sectPr>
          <w:pgSz w:w="16838" w:h="11906" w:orient="landscape"/>
          <w:pgMar w:top="720" w:right="720" w:bottom="720" w:left="720" w:header="851" w:footer="992" w:gutter="0"/>
          <w:cols w:space="720" w:num="1"/>
          <w:docGrid w:type="linesAndChars" w:linePitch="321" w:charSpace="0"/>
        </w:sectPr>
      </w:pPr>
    </w:p>
    <w:p>
      <w:pPr>
        <w:spacing w:beforeLines="50" w:line="56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第三部分 2019年度部门决算情况说明</w:t>
      </w:r>
    </w:p>
    <w:p>
      <w:pPr>
        <w:spacing w:line="560" w:lineRule="exact"/>
        <w:ind w:firstLine="643" w:firstLineChars="200"/>
        <w:outlineLvl w:val="1"/>
        <w:rPr>
          <w:rFonts w:ascii="Times New Roman" w:hAnsi="Times New Roman" w:eastAsia="黑体" w:cs="Times New Roman"/>
          <w:kern w:val="0"/>
          <w:sz w:val="32"/>
          <w:szCs w:val="32"/>
        </w:rPr>
      </w:pPr>
      <w:r>
        <w:rPr>
          <w:rFonts w:ascii="Times New Roman" w:hAnsi="Times New Roman" w:eastAsia="楷体_GB2312" w:cs="Times New Roman"/>
          <w:b/>
          <w:bCs/>
          <w:kern w:val="0"/>
          <w:sz w:val="32"/>
          <w:szCs w:val="32"/>
        </w:rPr>
        <w:t>一、收入支出决算总体情况说明</w:t>
      </w:r>
    </w:p>
    <w:p>
      <w:pPr>
        <w:spacing w:line="560" w:lineRule="exact"/>
        <w:ind w:firstLine="640" w:firstLineChars="200"/>
        <w:rPr>
          <w:rFonts w:eastAsia="仿宋_GB2312" w:cs="仿宋_GB2312" w:asciiTheme="minorHAnsi" w:hAnsiTheme="minorHAnsi"/>
          <w:sz w:val="32"/>
          <w:szCs w:val="32"/>
        </w:rPr>
      </w:pPr>
      <w:r>
        <w:rPr>
          <w:rFonts w:ascii="Times New Roman" w:hAnsi="Times New Roman" w:eastAsia="仿宋_GB2312" w:cs="Times New Roman"/>
          <w:kern w:val="0"/>
          <w:sz w:val="32"/>
          <w:szCs w:val="32"/>
        </w:rPr>
        <w:t>2019年度收入总计</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517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399.96</w:t>
      </w:r>
      <w:r>
        <w:rPr>
          <w:rFonts w:ascii="Times New Roman" w:hAnsi="Times New Roman" w:eastAsia="仿宋_GB2312" w:cs="Times New Roman"/>
          <w:kern w:val="0"/>
          <w:sz w:val="32"/>
          <w:szCs w:val="32"/>
        </w:rPr>
        <w:t>元，支出总计</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517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399.96</w:t>
      </w:r>
      <w:r>
        <w:rPr>
          <w:rFonts w:ascii="Times New Roman" w:hAnsi="Times New Roman" w:eastAsia="仿宋_GB2312" w:cs="Times New Roman"/>
          <w:kern w:val="0"/>
          <w:sz w:val="32"/>
          <w:szCs w:val="32"/>
        </w:rPr>
        <w:t>元。与2018年度相比，收、支总计各增加1,783,820</w:t>
      </w:r>
      <w:r>
        <w:rPr>
          <w:rFonts w:hint="eastAsia" w:ascii="Times New Roman" w:hAnsi="Times New Roman" w:eastAsia="仿宋_GB2312" w:cs="Times New Roman"/>
          <w:kern w:val="0"/>
          <w:sz w:val="32"/>
          <w:szCs w:val="32"/>
        </w:rPr>
        <w:t>.00</w:t>
      </w:r>
      <w:r>
        <w:rPr>
          <w:rFonts w:ascii="Times New Roman" w:hAnsi="Times New Roman" w:eastAsia="仿宋_GB2312" w:cs="Times New Roman"/>
          <w:kern w:val="0"/>
          <w:sz w:val="32"/>
          <w:szCs w:val="32"/>
        </w:rPr>
        <w:t>元，增长12.9%，主要原因</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sz w:val="32"/>
          <w:szCs w:val="32"/>
        </w:rPr>
        <w:t>增加2015-2019住房补贴及</w:t>
      </w:r>
      <w:r>
        <w:rPr>
          <w:rFonts w:eastAsia="仿宋_GB2312" w:cs="仿宋_GB2312" w:asciiTheme="minorHAnsi" w:hAnsiTheme="minorHAnsi"/>
          <w:sz w:val="32"/>
          <w:szCs w:val="32"/>
        </w:rPr>
        <w:t>2016-2019</w:t>
      </w:r>
      <w:r>
        <w:rPr>
          <w:rFonts w:hint="eastAsia" w:eastAsia="仿宋_GB2312" w:cs="仿宋_GB2312" w:asciiTheme="minorHAnsi" w:hAnsiTheme="minorHAnsi"/>
          <w:sz w:val="32"/>
          <w:szCs w:val="32"/>
        </w:rPr>
        <w:t>年</w:t>
      </w:r>
      <w:r>
        <w:rPr>
          <w:rFonts w:hint="eastAsia" w:ascii="仿宋_GB2312" w:hAnsi="仿宋_GB2312" w:eastAsia="仿宋_GB2312" w:cs="仿宋_GB2312"/>
          <w:sz w:val="32"/>
          <w:szCs w:val="32"/>
        </w:rPr>
        <w:t>有毒有害岗位津贴。</w:t>
      </w:r>
    </w:p>
    <w:p>
      <w:pPr>
        <w:spacing w:line="560" w:lineRule="exact"/>
        <w:ind w:firstLine="643" w:firstLineChars="200"/>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二、收入决算情况说明</w:t>
      </w:r>
    </w:p>
    <w:p>
      <w:pPr>
        <w:pStyle w:val="7"/>
        <w:spacing w:line="560" w:lineRule="exact"/>
        <w:ind w:firstLine="745" w:firstLineChars="233"/>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w:t>
      </w:r>
      <w:r>
        <w:rPr>
          <w:rFonts w:ascii="Times New Roman" w:hAnsi="Times New Roman" w:eastAsia="仿宋_GB2312" w:cs="Times New Roman"/>
          <w:color w:val="auto"/>
          <w:sz w:val="32"/>
          <w:szCs w:val="32"/>
        </w:rPr>
        <w:t>19年度收入合计</w:t>
      </w:r>
      <w:r>
        <w:rPr>
          <w:rFonts w:hint="eastAsia" w:ascii="Times New Roman" w:hAnsi="Times New Roman" w:eastAsia="仿宋_GB2312" w:cs="Times New Roman"/>
          <w:color w:val="auto"/>
          <w:sz w:val="32"/>
          <w:szCs w:val="32"/>
        </w:rPr>
        <w:t>86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571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962.37</w:t>
      </w:r>
      <w:r>
        <w:rPr>
          <w:rFonts w:ascii="Times New Roman" w:hAnsi="Times New Roman" w:eastAsia="仿宋_GB2312" w:cs="Times New Roman"/>
          <w:color w:val="auto"/>
          <w:sz w:val="32"/>
          <w:szCs w:val="32"/>
        </w:rPr>
        <w:t>元，其中：财政拨款收入</w:t>
      </w:r>
      <w:r>
        <w:rPr>
          <w:rFonts w:hint="eastAsia" w:ascii="Times New Roman" w:hAnsi="Times New Roman" w:eastAsia="仿宋_GB2312" w:cs="Times New Roman"/>
          <w:color w:val="auto"/>
          <w:sz w:val="32"/>
          <w:szCs w:val="32"/>
        </w:rPr>
        <w:t>15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517</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399.96</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17.92</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rPr>
        <w:t>71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054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562.4</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82.08</w:t>
      </w:r>
      <w:r>
        <w:rPr>
          <w:rFonts w:ascii="Times New Roman" w:hAnsi="Times New Roman" w:eastAsia="仿宋_GB2312" w:cs="Times New Roman"/>
          <w:color w:val="auto"/>
          <w:sz w:val="32"/>
          <w:szCs w:val="32"/>
        </w:rPr>
        <w:t>%。</w:t>
      </w:r>
    </w:p>
    <w:p>
      <w:pPr>
        <w:spacing w:line="560" w:lineRule="exact"/>
        <w:ind w:firstLine="643" w:firstLineChars="200"/>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三、支出决算情况说明</w:t>
      </w:r>
    </w:p>
    <w:p>
      <w:pPr>
        <w:spacing w:line="560" w:lineRule="exact"/>
        <w:ind w:firstLine="614" w:firstLineChars="192"/>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color w:val="000000"/>
          <w:kern w:val="0"/>
          <w:sz w:val="32"/>
          <w:szCs w:val="32"/>
        </w:rPr>
        <w:t>019年度支出合计</w:t>
      </w:r>
      <w:r>
        <w:rPr>
          <w:rFonts w:hint="eastAsia" w:ascii="Times New Roman" w:hAnsi="Times New Roman" w:eastAsia="仿宋_GB2312" w:cs="Times New Roman"/>
          <w:color w:val="000000"/>
          <w:kern w:val="0"/>
          <w:sz w:val="32"/>
          <w:szCs w:val="32"/>
        </w:rPr>
        <w:t>83</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761</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788.79</w:t>
      </w:r>
      <w:r>
        <w:rPr>
          <w:rFonts w:ascii="Times New Roman" w:hAnsi="Times New Roman" w:eastAsia="仿宋_GB2312" w:cs="Times New Roman"/>
          <w:color w:val="000000"/>
          <w:kern w:val="0"/>
          <w:sz w:val="32"/>
          <w:szCs w:val="32"/>
        </w:rPr>
        <w:t>元，其中：基本支出</w:t>
      </w:r>
      <w:r>
        <w:rPr>
          <w:rFonts w:hint="eastAsia" w:ascii="Times New Roman" w:hAnsi="Times New Roman" w:eastAsia="仿宋_GB2312" w:cs="Times New Roman"/>
          <w:color w:val="000000"/>
          <w:kern w:val="0"/>
          <w:sz w:val="32"/>
          <w:szCs w:val="32"/>
        </w:rPr>
        <w:t>15</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517</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399.96</w:t>
      </w:r>
      <w:r>
        <w:rPr>
          <w:rFonts w:ascii="Times New Roman" w:hAnsi="Times New Roman" w:eastAsia="仿宋_GB2312" w:cs="Times New Roman"/>
          <w:color w:val="000000"/>
          <w:kern w:val="0"/>
          <w:sz w:val="32"/>
          <w:szCs w:val="32"/>
        </w:rPr>
        <w:t>元，占</w:t>
      </w:r>
      <w:r>
        <w:rPr>
          <w:rFonts w:hint="eastAsia" w:ascii="Times New Roman" w:hAnsi="Times New Roman" w:eastAsia="仿宋_GB2312" w:cs="Times New Roman"/>
          <w:color w:val="000000"/>
          <w:kern w:val="0"/>
          <w:sz w:val="32"/>
          <w:szCs w:val="32"/>
        </w:rPr>
        <w:t>18.52</w:t>
      </w:r>
      <w:r>
        <w:rPr>
          <w:rFonts w:ascii="Times New Roman" w:hAnsi="Times New Roman" w:eastAsia="仿宋_GB2312" w:cs="Times New Roman"/>
          <w:color w:val="000000"/>
          <w:kern w:val="0"/>
          <w:sz w:val="32"/>
          <w:szCs w:val="32"/>
        </w:rPr>
        <w:t>%；项目支出</w:t>
      </w:r>
      <w:r>
        <w:rPr>
          <w:rFonts w:hint="eastAsia" w:ascii="Times New Roman" w:hAnsi="Times New Roman" w:eastAsia="仿宋_GB2312" w:cs="Times New Roman"/>
          <w:color w:val="000000"/>
          <w:kern w:val="0"/>
          <w:sz w:val="32"/>
          <w:szCs w:val="32"/>
        </w:rPr>
        <w:t>68</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244</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388.83</w:t>
      </w:r>
      <w:r>
        <w:rPr>
          <w:rFonts w:ascii="Times New Roman" w:hAnsi="Times New Roman" w:eastAsia="仿宋_GB2312" w:cs="Times New Roman"/>
          <w:color w:val="000000"/>
          <w:kern w:val="0"/>
          <w:sz w:val="32"/>
          <w:szCs w:val="32"/>
        </w:rPr>
        <w:t>元，占</w:t>
      </w:r>
      <w:r>
        <w:rPr>
          <w:rFonts w:hint="eastAsia" w:ascii="Times New Roman" w:hAnsi="Times New Roman" w:eastAsia="仿宋_GB2312" w:cs="Times New Roman"/>
          <w:color w:val="000000"/>
          <w:kern w:val="0"/>
          <w:sz w:val="32"/>
          <w:szCs w:val="32"/>
        </w:rPr>
        <w:t>81.48</w:t>
      </w:r>
      <w:r>
        <w:rPr>
          <w:rFonts w:ascii="Times New Roman" w:hAnsi="Times New Roman" w:eastAsia="仿宋_GB2312" w:cs="Times New Roman"/>
          <w:color w:val="000000"/>
          <w:kern w:val="0"/>
          <w:sz w:val="32"/>
          <w:szCs w:val="32"/>
        </w:rPr>
        <w:t>%；上缴上级支出</w:t>
      </w:r>
      <w:r>
        <w:rPr>
          <w:rFonts w:hint="eastAsia" w:ascii="Times New Roman" w:hAnsi="Times New Roman" w:eastAsia="仿宋_GB2312" w:cs="Times New Roman"/>
          <w:color w:val="000000"/>
          <w:kern w:val="0"/>
          <w:sz w:val="32"/>
          <w:szCs w:val="32"/>
        </w:rPr>
        <w:t>0.00</w:t>
      </w:r>
      <w:r>
        <w:rPr>
          <w:rFonts w:ascii="Times New Roman" w:hAnsi="Times New Roman" w:eastAsia="仿宋_GB2312" w:cs="Times New Roman"/>
          <w:color w:val="000000"/>
          <w:kern w:val="0"/>
          <w:sz w:val="32"/>
          <w:szCs w:val="32"/>
        </w:rPr>
        <w:t>元，占</w:t>
      </w:r>
      <w:r>
        <w:rPr>
          <w:rFonts w:hint="eastAsia" w:ascii="Times New Roman" w:hAnsi="Times New Roman" w:eastAsia="仿宋_GB2312" w:cs="Times New Roman"/>
          <w:color w:val="000000"/>
          <w:kern w:val="0"/>
          <w:sz w:val="32"/>
          <w:szCs w:val="32"/>
        </w:rPr>
        <w:t>0.00</w:t>
      </w:r>
      <w:r>
        <w:rPr>
          <w:rFonts w:ascii="Times New Roman" w:hAnsi="Times New Roman" w:eastAsia="仿宋_GB2312" w:cs="Times New Roman"/>
          <w:color w:val="000000"/>
          <w:kern w:val="0"/>
          <w:sz w:val="32"/>
          <w:szCs w:val="32"/>
        </w:rPr>
        <w:t>%；经营支出</w:t>
      </w:r>
      <w:r>
        <w:rPr>
          <w:rFonts w:hint="eastAsia" w:ascii="Times New Roman" w:hAnsi="Times New Roman" w:eastAsia="仿宋_GB2312" w:cs="Times New Roman"/>
          <w:color w:val="000000"/>
          <w:kern w:val="0"/>
          <w:sz w:val="32"/>
          <w:szCs w:val="32"/>
        </w:rPr>
        <w:t>0.00</w:t>
      </w:r>
      <w:r>
        <w:rPr>
          <w:rFonts w:ascii="Times New Roman" w:hAnsi="Times New Roman" w:eastAsia="仿宋_GB2312" w:cs="Times New Roman"/>
          <w:color w:val="000000"/>
          <w:kern w:val="0"/>
          <w:sz w:val="32"/>
          <w:szCs w:val="32"/>
        </w:rPr>
        <w:t>元，占</w:t>
      </w:r>
      <w:r>
        <w:rPr>
          <w:rFonts w:hint="eastAsia" w:ascii="Times New Roman" w:hAnsi="Times New Roman" w:eastAsia="仿宋_GB2312" w:cs="Times New Roman"/>
          <w:color w:val="000000"/>
          <w:kern w:val="0"/>
          <w:sz w:val="32"/>
          <w:szCs w:val="32"/>
        </w:rPr>
        <w:t>0.00</w:t>
      </w:r>
      <w:r>
        <w:rPr>
          <w:rFonts w:ascii="Times New Roman" w:hAnsi="Times New Roman" w:eastAsia="仿宋_GB2312" w:cs="Times New Roman"/>
          <w:color w:val="000000"/>
          <w:kern w:val="0"/>
          <w:sz w:val="32"/>
          <w:szCs w:val="32"/>
        </w:rPr>
        <w:t>%，对附属单位补助支出</w:t>
      </w:r>
      <w:r>
        <w:rPr>
          <w:rFonts w:hint="eastAsia" w:ascii="Times New Roman" w:hAnsi="Times New Roman" w:eastAsia="仿宋_GB2312" w:cs="Times New Roman"/>
          <w:color w:val="000000"/>
          <w:kern w:val="0"/>
          <w:sz w:val="32"/>
          <w:szCs w:val="32"/>
        </w:rPr>
        <w:t>0.00</w:t>
      </w:r>
      <w:r>
        <w:rPr>
          <w:rFonts w:ascii="Times New Roman" w:hAnsi="Times New Roman" w:eastAsia="仿宋_GB2312" w:cs="Times New Roman"/>
          <w:color w:val="000000"/>
          <w:kern w:val="0"/>
          <w:sz w:val="32"/>
          <w:szCs w:val="32"/>
        </w:rPr>
        <w:t>元，占</w:t>
      </w:r>
      <w:r>
        <w:rPr>
          <w:rFonts w:hint="eastAsia" w:ascii="Times New Roman" w:hAnsi="Times New Roman" w:eastAsia="仿宋_GB2312" w:cs="Times New Roman"/>
          <w:color w:val="000000"/>
          <w:kern w:val="0"/>
          <w:sz w:val="32"/>
          <w:szCs w:val="32"/>
        </w:rPr>
        <w:t>0.00</w:t>
      </w:r>
      <w:r>
        <w:rPr>
          <w:rFonts w:ascii="Times New Roman" w:hAnsi="Times New Roman" w:eastAsia="仿宋_GB2312" w:cs="Times New Roman"/>
          <w:color w:val="000000"/>
          <w:kern w:val="0"/>
          <w:sz w:val="32"/>
          <w:szCs w:val="32"/>
        </w:rPr>
        <w:t>%。</w:t>
      </w:r>
    </w:p>
    <w:p>
      <w:pPr>
        <w:spacing w:line="56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四、财政拨款收入支出决算总体情况说明</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2019年度财政拨款收入总计</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517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399.96</w:t>
      </w:r>
      <w:r>
        <w:rPr>
          <w:rFonts w:ascii="Times New Roman" w:hAnsi="Times New Roman" w:eastAsia="仿宋_GB2312" w:cs="Times New Roman"/>
          <w:kern w:val="0"/>
          <w:sz w:val="32"/>
          <w:szCs w:val="32"/>
        </w:rPr>
        <w:t>元，支出总计</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517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399.96</w:t>
      </w:r>
      <w:r>
        <w:rPr>
          <w:rFonts w:ascii="Times New Roman" w:hAnsi="Times New Roman" w:eastAsia="仿宋_GB2312" w:cs="Times New Roman"/>
          <w:kern w:val="0"/>
          <w:sz w:val="32"/>
          <w:szCs w:val="32"/>
        </w:rPr>
        <w:t>元。财政拨款收、支总计各增加</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783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820</w:t>
      </w:r>
      <w:r>
        <w:rPr>
          <w:rFonts w:ascii="Times New Roman" w:hAnsi="Times New Roman" w:eastAsia="仿宋_GB2312" w:cs="Times New Roman"/>
          <w:kern w:val="0"/>
          <w:sz w:val="32"/>
          <w:szCs w:val="32"/>
        </w:rPr>
        <w:t>.00 元，增长</w:t>
      </w:r>
      <w:r>
        <w:rPr>
          <w:rFonts w:hint="eastAsia" w:ascii="Times New Roman" w:hAnsi="Times New Roman" w:eastAsia="仿宋_GB2312" w:cs="Times New Roman"/>
          <w:kern w:val="0"/>
          <w:sz w:val="32"/>
          <w:szCs w:val="32"/>
        </w:rPr>
        <w:t>124.67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主要原因增长12.9%，</w:t>
      </w:r>
      <w:r>
        <w:rPr>
          <w:rFonts w:hint="eastAsia" w:ascii="Times New Roman" w:hAnsi="Times New Roman" w:eastAsia="仿宋_GB2312" w:cs="Times New Roman"/>
          <w:kern w:val="0"/>
          <w:sz w:val="32"/>
          <w:szCs w:val="32"/>
        </w:rPr>
        <w:t>主要原因是增加2015-2019住房补贴及</w:t>
      </w:r>
      <w:r>
        <w:rPr>
          <w:rFonts w:ascii="Times New Roman" w:hAnsi="Times New Roman" w:eastAsia="仿宋_GB2312" w:cs="Times New Roman"/>
          <w:kern w:val="0"/>
          <w:sz w:val="32"/>
          <w:szCs w:val="32"/>
        </w:rPr>
        <w:t>2016-2019</w:t>
      </w:r>
      <w:r>
        <w:rPr>
          <w:rFonts w:hint="eastAsia" w:ascii="Times New Roman" w:hAnsi="Times New Roman" w:eastAsia="仿宋_GB2312" w:cs="Times New Roman"/>
          <w:kern w:val="0"/>
          <w:sz w:val="32"/>
          <w:szCs w:val="32"/>
        </w:rPr>
        <w:t>年有毒有害岗位津贴。</w:t>
      </w:r>
    </w:p>
    <w:p>
      <w:pPr>
        <w:spacing w:line="560" w:lineRule="exact"/>
        <w:ind w:firstLine="643" w:firstLineChars="200"/>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五、一般公共预算财政拨款支出决算情况说明</w:t>
      </w:r>
    </w:p>
    <w:p>
      <w:pPr>
        <w:spacing w:line="560" w:lineRule="exact"/>
        <w:ind w:firstLine="643" w:firstLineChars="200"/>
        <w:rPr>
          <w:rFonts w:eastAsia="仿宋_GB2312" w:cs="仿宋_GB2312" w:asciiTheme="minorHAnsi" w:hAnsiTheme="minorHAnsi"/>
          <w:sz w:val="32"/>
          <w:szCs w:val="32"/>
        </w:rPr>
      </w:pPr>
      <w:r>
        <w:rPr>
          <w:rFonts w:ascii="Times New Roman" w:hAnsi="Times New Roman" w:eastAsia="仿宋_GB2312" w:cs="Times New Roman"/>
          <w:b/>
          <w:kern w:val="0"/>
          <w:sz w:val="32"/>
          <w:szCs w:val="32"/>
        </w:rPr>
        <w:t>（一）</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总体情况。</w:t>
      </w:r>
      <w:r>
        <w:rPr>
          <w:rFonts w:ascii="Times New Roman" w:hAnsi="Times New Roman" w:eastAsia="仿宋_GB2312" w:cs="Times New Roman"/>
          <w:kern w:val="0"/>
          <w:sz w:val="32"/>
          <w:szCs w:val="32"/>
        </w:rPr>
        <w:t>2019年度一般公共预算财政拨款支出</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517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399.96</w:t>
      </w:r>
      <w:r>
        <w:rPr>
          <w:rFonts w:ascii="Times New Roman" w:hAnsi="Times New Roman" w:eastAsia="仿宋_GB2312" w:cs="Times New Roman"/>
          <w:kern w:val="0"/>
          <w:sz w:val="32"/>
          <w:szCs w:val="32"/>
        </w:rPr>
        <w:t>元，占本年支出合计的</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%。与2018年度相比，一般公共预算财政拨款支出增加</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783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820</w:t>
      </w:r>
      <w:r>
        <w:rPr>
          <w:rFonts w:ascii="Times New Roman" w:hAnsi="Times New Roman" w:eastAsia="仿宋_GB2312" w:cs="Times New Roman"/>
          <w:kern w:val="0"/>
          <w:sz w:val="32"/>
          <w:szCs w:val="32"/>
        </w:rPr>
        <w:t>.00 元，增长</w:t>
      </w:r>
      <w:r>
        <w:rPr>
          <w:rFonts w:hint="eastAsia" w:ascii="Times New Roman" w:hAnsi="Times New Roman" w:eastAsia="仿宋_GB2312" w:cs="Times New Roman"/>
          <w:kern w:val="0"/>
          <w:sz w:val="32"/>
          <w:szCs w:val="32"/>
        </w:rPr>
        <w:t>124.67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主要原因增长12.9%，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sz w:val="32"/>
          <w:szCs w:val="32"/>
        </w:rPr>
        <w:t>增加2015-2019住房补贴及</w:t>
      </w:r>
      <w:r>
        <w:rPr>
          <w:rFonts w:eastAsia="仿宋_GB2312" w:cs="仿宋_GB2312" w:asciiTheme="minorHAnsi" w:hAnsiTheme="minorHAnsi"/>
          <w:sz w:val="32"/>
          <w:szCs w:val="32"/>
        </w:rPr>
        <w:t>2016-2019</w:t>
      </w:r>
      <w:r>
        <w:rPr>
          <w:rFonts w:hint="eastAsia" w:eastAsia="仿宋_GB2312" w:cs="仿宋_GB2312" w:asciiTheme="minorHAnsi" w:hAnsiTheme="minorHAnsi"/>
          <w:sz w:val="32"/>
          <w:szCs w:val="32"/>
        </w:rPr>
        <w:t>年</w:t>
      </w:r>
      <w:r>
        <w:rPr>
          <w:rFonts w:hint="eastAsia" w:ascii="仿宋_GB2312" w:hAnsi="仿宋_GB2312" w:eastAsia="仿宋_GB2312" w:cs="仿宋_GB2312"/>
          <w:sz w:val="32"/>
          <w:szCs w:val="32"/>
        </w:rPr>
        <w:t>有毒有害岗位津贴。</w:t>
      </w:r>
    </w:p>
    <w:p>
      <w:pPr>
        <w:spacing w:line="560" w:lineRule="exact"/>
        <w:ind w:firstLine="655" w:firstLineChars="204"/>
        <w:rPr>
          <w:rFonts w:ascii="仿宋_GB2312" w:hAnsi="仿宋_GB2312" w:eastAsia="仿宋_GB2312" w:cs="仿宋_GB2312"/>
          <w:kern w:val="0"/>
          <w:sz w:val="32"/>
          <w:szCs w:val="32"/>
        </w:rPr>
      </w:pPr>
      <w:r>
        <w:rPr>
          <w:rFonts w:ascii="Times New Roman" w:hAnsi="Times New Roman" w:eastAsia="仿宋_GB2312" w:cs="Times New Roman"/>
          <w:b/>
          <w:kern w:val="0"/>
          <w:sz w:val="32"/>
          <w:szCs w:val="32"/>
        </w:rPr>
        <w:t>（二）</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结构情况。</w:t>
      </w:r>
      <w:r>
        <w:rPr>
          <w:rFonts w:ascii="Times New Roman" w:hAnsi="Times New Roman" w:eastAsia="仿宋_GB2312" w:cs="Times New Roman"/>
          <w:kern w:val="0"/>
          <w:sz w:val="32"/>
          <w:szCs w:val="32"/>
        </w:rPr>
        <w:t>2019年度一般公共预算财政拨款支出</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517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399.96</w:t>
      </w:r>
      <w:r>
        <w:rPr>
          <w:rFonts w:ascii="Times New Roman" w:hAnsi="Times New Roman" w:eastAsia="仿宋_GB2312" w:cs="Times New Roman"/>
          <w:kern w:val="0"/>
          <w:sz w:val="32"/>
          <w:szCs w:val="32"/>
        </w:rPr>
        <w:t>元，主要用于以下方面：</w:t>
      </w:r>
      <w:r>
        <w:rPr>
          <w:rFonts w:hint="eastAsia" w:ascii="仿宋_GB2312" w:hAnsi="仿宋_GB2312" w:eastAsia="仿宋_GB2312" w:cs="仿宋_GB2312"/>
          <w:kern w:val="0"/>
          <w:sz w:val="32"/>
          <w:szCs w:val="32"/>
        </w:rPr>
        <w:t>农林水支出</w:t>
      </w:r>
      <w:r>
        <w:rPr>
          <w:rFonts w:eastAsia="仿宋_GB2312" w:cs="仿宋_GB2312" w:asciiTheme="minorHAnsi" w:hAnsiTheme="minorHAnsi"/>
          <w:kern w:val="0"/>
          <w:sz w:val="32"/>
          <w:szCs w:val="32"/>
        </w:rPr>
        <w:t>12,261,630.00</w:t>
      </w:r>
      <w:r>
        <w:rPr>
          <w:rFonts w:hint="eastAsia" w:ascii="仿宋_GB2312" w:hAnsi="仿宋_GB2312" w:eastAsia="仿宋_GB2312" w:cs="仿宋_GB2312"/>
          <w:kern w:val="0"/>
          <w:sz w:val="32"/>
          <w:szCs w:val="32"/>
        </w:rPr>
        <w:t>元，占</w:t>
      </w:r>
      <w:r>
        <w:rPr>
          <w:rFonts w:hint="eastAsia" w:ascii="Times New Roman" w:hAnsi="Times New Roman" w:eastAsia="仿宋_GB2312" w:cs="Times New Roman"/>
          <w:sz w:val="32"/>
          <w:szCs w:val="32"/>
        </w:rPr>
        <w:t>79.02%</w:t>
      </w:r>
      <w:r>
        <w:rPr>
          <w:rFonts w:hint="eastAsia" w:ascii="仿宋_GB2312" w:hAnsi="仿宋_GB2312" w:eastAsia="仿宋_GB2312" w:cs="仿宋_GB2312"/>
          <w:kern w:val="0"/>
          <w:sz w:val="32"/>
          <w:szCs w:val="32"/>
        </w:rPr>
        <w:t>；社会保障和就业（类）支出</w:t>
      </w:r>
      <w:r>
        <w:rPr>
          <w:rFonts w:hint="eastAsia" w:ascii="Times New Roman" w:hAnsi="Times New Roman" w:eastAsia="仿宋_GB2312" w:cs="Times New Roman"/>
          <w:sz w:val="32"/>
          <w:szCs w:val="32"/>
        </w:rPr>
        <w:t>135.7085万</w:t>
      </w:r>
      <w:r>
        <w:rPr>
          <w:rFonts w:hint="eastAsia" w:ascii="仿宋_GB2312" w:hAnsi="仿宋_GB2312" w:eastAsia="仿宋_GB2312" w:cs="仿宋_GB2312"/>
          <w:kern w:val="0"/>
          <w:sz w:val="32"/>
          <w:szCs w:val="32"/>
        </w:rPr>
        <w:t>元，占</w:t>
      </w:r>
      <w:r>
        <w:rPr>
          <w:rFonts w:hint="eastAsia" w:ascii="Times New Roman" w:hAnsi="Times New Roman" w:eastAsia="仿宋_GB2312" w:cs="Times New Roman"/>
          <w:sz w:val="32"/>
          <w:szCs w:val="32"/>
        </w:rPr>
        <w:t>8.75%</w:t>
      </w:r>
      <w:r>
        <w:rPr>
          <w:rFonts w:hint="eastAsia" w:ascii="仿宋_GB2312" w:hAnsi="仿宋_GB2312" w:eastAsia="仿宋_GB2312" w:cs="仿宋_GB2312"/>
          <w:kern w:val="0"/>
          <w:sz w:val="32"/>
          <w:szCs w:val="32"/>
        </w:rPr>
        <w:t>；卫生健康支出</w:t>
      </w:r>
      <w:r>
        <w:rPr>
          <w:rFonts w:hint="eastAsia" w:ascii="Times New Roman" w:hAnsi="Times New Roman" w:eastAsia="仿宋_GB2312" w:cs="Times New Roman"/>
          <w:sz w:val="32"/>
          <w:szCs w:val="32"/>
        </w:rPr>
        <w:t>76.9064万</w:t>
      </w:r>
      <w:r>
        <w:rPr>
          <w:rFonts w:hint="eastAsia" w:ascii="仿宋_GB2312" w:hAnsi="仿宋_GB2312" w:eastAsia="仿宋_GB2312" w:cs="仿宋_GB2312"/>
          <w:kern w:val="0"/>
          <w:sz w:val="32"/>
          <w:szCs w:val="32"/>
        </w:rPr>
        <w:t>元，占</w:t>
      </w:r>
      <w:r>
        <w:rPr>
          <w:rFonts w:hint="eastAsia" w:ascii="Times New Roman" w:hAnsi="Times New Roman" w:eastAsia="仿宋_GB2312" w:cs="Times New Roman"/>
          <w:sz w:val="32"/>
          <w:szCs w:val="32"/>
        </w:rPr>
        <w:t>4.96</w:t>
      </w:r>
      <w:r>
        <w:rPr>
          <w:rFonts w:ascii="Times New Roman" w:hAnsi="Times New Roman" w:eastAsia="仿宋_GB2312" w:cs="Times New Roman"/>
          <w:sz w:val="32"/>
          <w:szCs w:val="32"/>
        </w:rPr>
        <w:t>%</w:t>
      </w:r>
      <w:r>
        <w:rPr>
          <w:rFonts w:hint="eastAsia" w:ascii="仿宋_GB2312" w:hAnsi="仿宋_GB2312" w:eastAsia="仿宋_GB2312" w:cs="仿宋_GB2312"/>
          <w:kern w:val="0"/>
          <w:sz w:val="32"/>
          <w:szCs w:val="32"/>
        </w:rPr>
        <w:t>；住房保障（类）支出</w:t>
      </w:r>
      <w:r>
        <w:rPr>
          <w:rFonts w:hint="eastAsia" w:ascii="Times New Roman" w:hAnsi="Times New Roman" w:eastAsia="仿宋_GB2312" w:cs="Times New Roman"/>
          <w:sz w:val="32"/>
          <w:szCs w:val="32"/>
        </w:rPr>
        <w:t>112.9621万</w:t>
      </w:r>
      <w:r>
        <w:rPr>
          <w:rFonts w:hint="eastAsia" w:ascii="仿宋_GB2312" w:hAnsi="仿宋_GB2312" w:eastAsia="仿宋_GB2312" w:cs="仿宋_GB2312"/>
          <w:kern w:val="0"/>
          <w:sz w:val="32"/>
          <w:szCs w:val="32"/>
        </w:rPr>
        <w:t>元，占</w:t>
      </w:r>
      <w:r>
        <w:rPr>
          <w:rFonts w:hint="eastAsia" w:ascii="Times New Roman" w:hAnsi="Times New Roman" w:eastAsia="仿宋_GB2312" w:cs="Times New Roman"/>
          <w:sz w:val="32"/>
          <w:szCs w:val="32"/>
        </w:rPr>
        <w:t>7.27%</w:t>
      </w:r>
      <w:r>
        <w:rPr>
          <w:rFonts w:hint="eastAsia" w:ascii="仿宋_GB2312" w:hAnsi="仿宋_GB2312" w:eastAsia="仿宋_GB2312" w:cs="仿宋_GB2312"/>
          <w:kern w:val="0"/>
          <w:sz w:val="32"/>
          <w:szCs w:val="32"/>
        </w:rPr>
        <w:t>。</w:t>
      </w:r>
    </w:p>
    <w:p>
      <w:pPr>
        <w:spacing w:line="560" w:lineRule="exact"/>
        <w:ind w:firstLine="652" w:firstLineChars="204"/>
        <w:rPr>
          <w:rFonts w:ascii="Times New Roman" w:hAnsi="Times New Roman" w:eastAsia="仿宋_GB2312" w:cs="Times New Roman"/>
          <w:b/>
          <w:kern w:val="0"/>
          <w:sz w:val="32"/>
          <w:szCs w:val="32"/>
        </w:rPr>
      </w:pPr>
      <w:r>
        <w:rPr>
          <w:rFonts w:ascii="Times New Roman" w:hAnsi="Times New Roman" w:eastAsia="仿宋_GB2312" w:cs="Times New Roman"/>
          <w:kern w:val="0"/>
          <w:sz w:val="32"/>
          <w:szCs w:val="32"/>
        </w:rPr>
        <w:t>外交（类）支出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%；国防（类）支出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%；教育（类）支出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%；文化旅游体育与传媒（类）支出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%；交通运输（类）支出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%；资源勘探信息等（类）支出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%；商业服务业等（类）支出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%；金融（类）支出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%；援助其他地区（类）支出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%；自然资源海洋气象等（类）支出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元，占0%；灾害防治及应急管理（类）支出0元，占0%；其他（类）支出0元，占0%；债务还本（类）支出0元，占0%</w:t>
      </w:r>
      <w:r>
        <w:rPr>
          <w:rFonts w:hint="eastAsia" w:ascii="Times New Roman" w:hAnsi="Times New Roman" w:eastAsia="仿宋_GB2312" w:cs="Times New Roman"/>
          <w:kern w:val="0"/>
          <w:sz w:val="32"/>
          <w:szCs w:val="32"/>
        </w:rPr>
        <w:t>；债务付息</w:t>
      </w:r>
      <w:r>
        <w:rPr>
          <w:rFonts w:ascii="Times New Roman" w:hAnsi="Times New Roman" w:eastAsia="仿宋_GB2312" w:cs="Times New Roman"/>
          <w:kern w:val="0"/>
          <w:sz w:val="32"/>
          <w:szCs w:val="32"/>
        </w:rPr>
        <w:t>（类）支出0元，占0%</w:t>
      </w:r>
      <w:r>
        <w:rPr>
          <w:rFonts w:hint="eastAsia" w:ascii="Times New Roman" w:hAnsi="Times New Roman" w:eastAsia="仿宋_GB2312" w:cs="Times New Roman"/>
          <w:kern w:val="0"/>
          <w:sz w:val="32"/>
          <w:szCs w:val="32"/>
        </w:rPr>
        <w:t>。</w:t>
      </w:r>
    </w:p>
    <w:p>
      <w:pPr>
        <w:spacing w:line="540" w:lineRule="exact"/>
        <w:ind w:firstLine="643" w:firstLineChars="200"/>
        <w:rPr>
          <w:rFonts w:ascii="仿宋_GB2312" w:hAnsi="仿宋_GB2312" w:eastAsia="仿宋_GB2312" w:cs="仿宋_GB2312"/>
          <w:sz w:val="32"/>
          <w:szCs w:val="32"/>
        </w:rPr>
      </w:pPr>
      <w:r>
        <w:rPr>
          <w:rFonts w:ascii="Times New Roman" w:hAnsi="Times New Roman" w:eastAsia="仿宋_GB2312" w:cs="Times New Roman"/>
          <w:b/>
          <w:kern w:val="0"/>
          <w:sz w:val="32"/>
          <w:szCs w:val="32"/>
        </w:rPr>
        <w:t>（</w:t>
      </w:r>
      <w:r>
        <w:rPr>
          <w:rFonts w:hint="eastAsia" w:ascii="Times New Roman" w:hAnsi="Times New Roman" w:eastAsia="仿宋_GB2312" w:cs="Times New Roman"/>
          <w:b/>
          <w:kern w:val="0"/>
          <w:sz w:val="32"/>
          <w:szCs w:val="32"/>
        </w:rPr>
        <w:t>三</w:t>
      </w:r>
      <w:r>
        <w:rPr>
          <w:rFonts w:ascii="Times New Roman" w:hAnsi="Times New Roman" w:eastAsia="仿宋_GB2312" w:cs="Times New Roman"/>
          <w:b/>
          <w:kern w:val="0"/>
          <w:sz w:val="32"/>
          <w:szCs w:val="32"/>
        </w:rPr>
        <w:t>）</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具体情况。</w:t>
      </w:r>
      <w:r>
        <w:rPr>
          <w:rFonts w:ascii="Times New Roman" w:hAnsi="Times New Roman" w:eastAsia="仿宋_GB2312" w:cs="Times New Roman"/>
          <w:kern w:val="0"/>
          <w:sz w:val="32"/>
          <w:szCs w:val="32"/>
        </w:rPr>
        <w:t>2019年度一般公共预算财政拨款支出年初预算为</w:t>
      </w:r>
      <w:r>
        <w:rPr>
          <w:rFonts w:hint="eastAsia" w:ascii="Times New Roman" w:hAnsi="Times New Roman" w:eastAsia="仿宋_GB2312" w:cs="Times New Roman"/>
          <w:kern w:val="0"/>
          <w:sz w:val="32"/>
          <w:szCs w:val="32"/>
        </w:rPr>
        <w:t>13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695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.00元，支出决算为</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517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399.96</w:t>
      </w:r>
      <w:r>
        <w:rPr>
          <w:rFonts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rPr>
        <w:t>113.3</w:t>
      </w:r>
      <w:r>
        <w:rPr>
          <w:rFonts w:ascii="Times New Roman" w:hAnsi="Times New Roman" w:eastAsia="仿宋_GB2312" w:cs="Times New Roman"/>
          <w:kern w:val="0"/>
          <w:sz w:val="32"/>
          <w:szCs w:val="32"/>
        </w:rPr>
        <w:t>%。决算数大于预算数的主要原因：</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sz w:val="32"/>
          <w:szCs w:val="32"/>
        </w:rPr>
        <w:t>增加2015-2019住房补贴及</w:t>
      </w:r>
      <w:r>
        <w:rPr>
          <w:rFonts w:eastAsia="仿宋_GB2312" w:cs="仿宋_GB2312" w:asciiTheme="minorHAnsi" w:hAnsiTheme="minorHAnsi"/>
          <w:sz w:val="32"/>
          <w:szCs w:val="32"/>
        </w:rPr>
        <w:t>2016-2019</w:t>
      </w:r>
      <w:r>
        <w:rPr>
          <w:rFonts w:hint="eastAsia" w:eastAsia="仿宋_GB2312" w:cs="仿宋_GB2312" w:asciiTheme="minorHAnsi" w:hAnsiTheme="minorHAnsi"/>
          <w:sz w:val="32"/>
          <w:szCs w:val="32"/>
        </w:rPr>
        <w:t>年</w:t>
      </w:r>
      <w:r>
        <w:rPr>
          <w:rFonts w:hint="eastAsia" w:ascii="仿宋_GB2312" w:hAnsi="仿宋_GB2312" w:eastAsia="仿宋_GB2312" w:cs="仿宋_GB2312"/>
          <w:sz w:val="32"/>
          <w:szCs w:val="32"/>
        </w:rPr>
        <w:t>有毒有害岗位津贴。</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1.社会保障和就业支出（类）行政事业单位离退休（款） 机关事业单位基本养老保险缴费支出（项）。</w:t>
      </w:r>
      <w:r>
        <w:rPr>
          <w:rFonts w:hint="eastAsia" w:ascii="仿宋_GB2312" w:hAnsi="仿宋_GB2312" w:eastAsia="仿宋_GB2312" w:cs="仿宋_GB2312"/>
          <w:sz w:val="32"/>
          <w:szCs w:val="32"/>
        </w:rPr>
        <w:t>年初预算数为1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357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200.00，支出决算数1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084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621.82元，完成年初预算的79.92%。决算数小于预算数的主要原因:一是养老保险缴费比例下调；二是缴费人员减少。</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2.社会保障和就业支出（类）行政事业单位离退休（款）机关事业单位职业年金缴费支出（项）。</w:t>
      </w:r>
      <w:r>
        <w:rPr>
          <w:rFonts w:hint="eastAsia" w:ascii="仿宋_GB2312" w:hAnsi="仿宋_GB2312" w:eastAsia="仿宋_GB2312" w:cs="仿宋_GB2312"/>
          <w:sz w:val="32"/>
          <w:szCs w:val="32"/>
        </w:rPr>
        <w:t>年初预算数为0元，支出决算数169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965.54元。决算数大于预算数的主要原因:年初未做退休人员的职业年金预算。</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3.社会保障和就业支出（类）行政事业单位离退休（款）其他行政事业单位离退休支出（项）。</w:t>
      </w:r>
      <w:r>
        <w:rPr>
          <w:rFonts w:hint="eastAsia" w:ascii="仿宋_GB2312" w:hAnsi="仿宋_GB2312" w:eastAsia="仿宋_GB2312" w:cs="仿宋_GB2312"/>
          <w:sz w:val="32"/>
          <w:szCs w:val="32"/>
        </w:rPr>
        <w:t>年初预算数为72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000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元，支出决算数102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498.00元，完成年初预算的142.35%。决算数大于预算数的主要原因:增加退休人员，退休人员的住房补贴由在职转退休。</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4.卫生健康支出（类）行政事业单位医疗（款）事业单位医疗（项）。</w:t>
      </w:r>
      <w:r>
        <w:rPr>
          <w:rFonts w:hint="eastAsia" w:ascii="仿宋_GB2312" w:hAnsi="仿宋_GB2312" w:eastAsia="仿宋_GB2312" w:cs="仿宋_GB2312"/>
          <w:sz w:val="32"/>
          <w:szCs w:val="32"/>
        </w:rPr>
        <w:t>年初预算数为831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900.00 元，支出决算数769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064.86元，完成年初预算的92.45%。决算数小于预算数的主要原因:年中，增加退休人员，缴费人员减少。</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5.农林水支出（类）农业（款）事业运行（项）。</w:t>
      </w:r>
      <w:r>
        <w:rPr>
          <w:rFonts w:hint="eastAsia" w:ascii="仿宋_GB2312" w:hAnsi="仿宋_GB2312" w:eastAsia="仿宋_GB2312" w:cs="仿宋_GB2312"/>
          <w:sz w:val="32"/>
          <w:szCs w:val="32"/>
        </w:rPr>
        <w:t>年初预算数为10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584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100.00元，支出决算数12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261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628.74元，完成年初预算的115.8%。决算数大于预算数的主要原因:一是2019年实有人数大于年初预算数，相应工资和各类奖金及补贴增加；二是发放2015-2018年在职人员住房补贴，此补贴未安排到年初预算；</w:t>
      </w:r>
      <w:r>
        <w:rPr>
          <w:rFonts w:hint="eastAsia" w:ascii="Times New Roman" w:hAnsi="Times New Roman" w:eastAsia="仿宋_GB2312" w:cs="Times New Roman"/>
          <w:sz w:val="32"/>
          <w:szCs w:val="32"/>
        </w:rPr>
        <w:t>三是晋级增资；四是补发了2016-2019年有毒有害岗位津贴。</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6.住房保障支出（类）住房改革支出（款） 住房公积金（项）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年初预算数为814</w:t>
      </w:r>
      <w:r>
        <w:rPr>
          <w:rFonts w:eastAsia="仿宋_GB2312" w:cs="仿宋_GB2312" w:asciiTheme="minorHAnsi" w:hAnsiTheme="minorHAnsi"/>
          <w:sz w:val="32"/>
          <w:szCs w:val="32"/>
        </w:rPr>
        <w:t>,</w:t>
      </w:r>
      <w:r>
        <w:rPr>
          <w:rFonts w:hint="eastAsia" w:ascii="仿宋_GB2312" w:hAnsi="仿宋_GB2312" w:eastAsia="仿宋_GB2312" w:cs="仿宋_GB2312"/>
          <w:sz w:val="32"/>
          <w:szCs w:val="32"/>
        </w:rPr>
        <w:t>300,00 元，支出决算数1，129，621.00元。完成年初预算的138.7%。决算数大于预算数的主要原因:一是2019年实有人数大于年初预算数，相应工资和各类奖金及补贴增加及相配套的住房公积金也增加。</w:t>
      </w:r>
    </w:p>
    <w:p>
      <w:pPr>
        <w:spacing w:line="56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六、一般公共预算财政拨款基本支出决算情况说明</w:t>
      </w:r>
    </w:p>
    <w:p>
      <w:pPr>
        <w:pStyle w:val="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2019年度一般公共预算财政拨款基本支出</w:t>
      </w:r>
      <w:r>
        <w:rPr>
          <w:rFonts w:hint="eastAsia" w:ascii="Times New Roman" w:hAnsi="Times New Roman" w:eastAsia="仿宋_GB2312" w:cs="Times New Roman"/>
          <w:color w:val="auto"/>
          <w:sz w:val="32"/>
          <w:szCs w:val="32"/>
        </w:rPr>
        <w:t>15.517.399.96</w:t>
      </w:r>
      <w:r>
        <w:rPr>
          <w:rFonts w:ascii="Times New Roman" w:hAnsi="Times New Roman" w:eastAsia="仿宋_GB2312" w:cs="Times New Roman"/>
          <w:color w:val="auto"/>
          <w:sz w:val="32"/>
          <w:szCs w:val="32"/>
        </w:rPr>
        <w:t>元，</w:t>
      </w:r>
      <w:r>
        <w:rPr>
          <w:rFonts w:ascii="Times New Roman" w:hAnsi="Times New Roman" w:eastAsia="仿宋_GB2312" w:cs="Times New Roman"/>
          <w:sz w:val="32"/>
          <w:szCs w:val="32"/>
        </w:rPr>
        <w:t>其中：人员经费</w:t>
      </w:r>
      <w:r>
        <w:rPr>
          <w:rFonts w:hint="eastAsia" w:ascii="Times New Roman" w:hAnsi="Times New Roman" w:eastAsia="仿宋_GB2312" w:cs="Times New Roman"/>
          <w:sz w:val="32"/>
          <w:szCs w:val="32"/>
        </w:rPr>
        <w:t>15.173.399.96</w:t>
      </w:r>
      <w:r>
        <w:rPr>
          <w:rFonts w:ascii="Times New Roman" w:hAnsi="Times New Roman" w:eastAsia="仿宋_GB2312" w:cs="Times New Roman"/>
          <w:sz w:val="32"/>
          <w:szCs w:val="32"/>
        </w:rPr>
        <w:t>元，公用经费</w:t>
      </w:r>
      <w:r>
        <w:rPr>
          <w:rFonts w:hint="eastAsia" w:ascii="Times New Roman" w:hAnsi="Times New Roman" w:eastAsia="仿宋_GB2312" w:cs="Times New Roman"/>
          <w:sz w:val="32"/>
          <w:szCs w:val="32"/>
        </w:rPr>
        <w:t>344.000.00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 xml:space="preserve">支出具体情况如下： </w:t>
      </w:r>
    </w:p>
    <w:p>
      <w:pPr>
        <w:spacing w:line="54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1.工资福利支出</w:t>
      </w:r>
      <w:r>
        <w:rPr>
          <w:rFonts w:hint="eastAsia" w:ascii="Times New Roman" w:hAnsi="Times New Roman" w:eastAsia="仿宋_GB2312" w:cs="Times New Roman"/>
          <w:sz w:val="32"/>
          <w:szCs w:val="32"/>
        </w:rPr>
        <w:t>15.063.941.96</w:t>
      </w:r>
      <w:r>
        <w:rPr>
          <w:rFonts w:ascii="Times New Roman" w:hAnsi="Times New Roman" w:eastAsia="仿宋_GB2312" w:cs="Times New Roman"/>
          <w:sz w:val="32"/>
          <w:szCs w:val="32"/>
        </w:rPr>
        <w:t>元，较2019年度年初预算数增加</w:t>
      </w:r>
      <w:r>
        <w:rPr>
          <w:rFonts w:hint="eastAsia" w:ascii="Times New Roman" w:hAnsi="Times New Roman" w:eastAsia="仿宋_GB2312" w:cs="Times New Roman"/>
          <w:sz w:val="32"/>
          <w:szCs w:val="32"/>
        </w:rPr>
        <w:t>1748441.96</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11.61</w:t>
      </w:r>
      <w:r>
        <w:rPr>
          <w:rFonts w:ascii="Times New Roman" w:hAnsi="Times New Roman" w:eastAsia="仿宋_GB2312" w:cs="Times New Roman"/>
          <w:sz w:val="32"/>
          <w:szCs w:val="32"/>
        </w:rPr>
        <w:t>%，主要原因</w:t>
      </w:r>
      <w:r>
        <w:rPr>
          <w:rFonts w:hint="eastAsia" w:ascii="Times New Roman" w:hAnsi="Times New Roman" w:eastAsia="仿宋_GB2312" w:cs="Times New Roman"/>
          <w:sz w:val="32"/>
          <w:szCs w:val="32"/>
        </w:rPr>
        <w:t>一是</w:t>
      </w:r>
      <w:r>
        <w:rPr>
          <w:rFonts w:hint="eastAsia" w:ascii="仿宋_GB2312" w:hAnsi="仿宋_GB2312" w:eastAsia="仿宋_GB2312" w:cs="仿宋_GB2312"/>
          <w:sz w:val="32"/>
          <w:szCs w:val="32"/>
        </w:rPr>
        <w:t>年末实有人数大于年初预算数，相应工资和各类奖金及补贴增加；二是发放2015-2018年在职人员住房补贴，此补贴未安排到年初预算；</w:t>
      </w:r>
      <w:r>
        <w:rPr>
          <w:rFonts w:hint="eastAsia" w:ascii="Times New Roman" w:hAnsi="Times New Roman" w:eastAsia="仿宋_GB2312" w:cs="Times New Roman"/>
          <w:sz w:val="32"/>
          <w:szCs w:val="32"/>
        </w:rPr>
        <w:t>三是晋级增资；四是补发了2016-2019年有毒有害岗位津贴。较2018年决算数3.767.361.23元，增长33.34%。</w:t>
      </w:r>
    </w:p>
    <w:p>
      <w:pPr>
        <w:pStyle w:val="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2.商品和服务支出</w:t>
      </w:r>
      <w:r>
        <w:rPr>
          <w:rFonts w:hint="eastAsia" w:ascii="Times New Roman" w:hAnsi="Times New Roman" w:eastAsia="仿宋_GB2312" w:cs="Times New Roman"/>
          <w:sz w:val="32"/>
          <w:szCs w:val="32"/>
        </w:rPr>
        <w:t>344.000.00</w:t>
      </w:r>
      <w:r>
        <w:rPr>
          <w:rFonts w:ascii="Times New Roman" w:hAnsi="Times New Roman" w:eastAsia="仿宋_GB2312" w:cs="Times New Roman"/>
          <w:sz w:val="32"/>
          <w:szCs w:val="32"/>
        </w:rPr>
        <w:t>元，</w:t>
      </w:r>
      <w:r>
        <w:rPr>
          <w:rFonts w:hint="eastAsia" w:ascii="Times New Roman" w:hAnsi="Times New Roman" w:eastAsia="仿宋_GB2312" w:cs="Times New Roman"/>
          <w:color w:val="auto"/>
          <w:sz w:val="32"/>
          <w:szCs w:val="32"/>
        </w:rPr>
        <w:t>和</w:t>
      </w:r>
      <w:r>
        <w:rPr>
          <w:rFonts w:ascii="Times New Roman" w:hAnsi="Times New Roman" w:eastAsia="仿宋_GB2312" w:cs="Times New Roman"/>
          <w:color w:val="auto"/>
          <w:sz w:val="32"/>
          <w:szCs w:val="32"/>
        </w:rPr>
        <w:t>2019年度年初预算数</w:t>
      </w:r>
      <w:r>
        <w:rPr>
          <w:rFonts w:hint="eastAsia" w:ascii="Times New Roman" w:hAnsi="Times New Roman" w:eastAsia="仿宋_GB2312" w:cs="Times New Roman"/>
          <w:color w:val="auto"/>
          <w:sz w:val="32"/>
          <w:szCs w:val="32"/>
        </w:rPr>
        <w:t>一致。较2018年决算数减少了119.048.73元，减少25.7%，减少的原因是把乡镇派驻人员的公用经费下划到各乡镇。</w:t>
      </w:r>
    </w:p>
    <w:p>
      <w:pPr>
        <w:pStyle w:val="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3.对个人和家庭的补助</w:t>
      </w:r>
      <w:r>
        <w:rPr>
          <w:rFonts w:hint="eastAsia" w:ascii="Times New Roman" w:hAnsi="Times New Roman" w:eastAsia="仿宋_GB2312" w:cs="Times New Roman"/>
          <w:sz w:val="32"/>
          <w:szCs w:val="32"/>
        </w:rPr>
        <w:t>109.458</w:t>
      </w:r>
      <w:r>
        <w:rPr>
          <w:rFonts w:ascii="Times New Roman" w:hAnsi="Times New Roman" w:eastAsia="仿宋_GB2312" w:cs="Times New Roman"/>
          <w:sz w:val="32"/>
          <w:szCs w:val="32"/>
        </w:rPr>
        <w:t>.00元，</w:t>
      </w:r>
      <w:r>
        <w:rPr>
          <w:rFonts w:ascii="Times New Roman" w:hAnsi="Times New Roman" w:eastAsia="仿宋_GB2312" w:cs="Times New Roman"/>
          <w:color w:val="auto"/>
          <w:sz w:val="32"/>
          <w:szCs w:val="32"/>
        </w:rPr>
        <w:t>较2019年度年初预算数增加</w:t>
      </w:r>
      <w:r>
        <w:rPr>
          <w:rFonts w:hint="eastAsia" w:ascii="Times New Roman" w:hAnsi="Times New Roman" w:eastAsia="仿宋_GB2312" w:cs="Times New Roman"/>
          <w:color w:val="auto"/>
          <w:sz w:val="32"/>
          <w:szCs w:val="32"/>
        </w:rPr>
        <w:t>37.458.00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52.02</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新增退休人员，退休费增加</w:t>
      </w:r>
      <w:r>
        <w:rPr>
          <w:rFonts w:ascii="Times New Roman" w:hAnsi="Times New Roman" w:eastAsia="仿宋_GB2312" w:cs="Times New Roman"/>
          <w:color w:val="auto"/>
          <w:sz w:val="32"/>
          <w:szCs w:val="32"/>
        </w:rPr>
        <w:t>；较2018年度决算数</w:t>
      </w:r>
      <w:r>
        <w:rPr>
          <w:rFonts w:hint="eastAsia" w:ascii="Times New Roman" w:hAnsi="Times New Roman" w:eastAsia="仿宋_GB2312" w:cs="Times New Roman"/>
          <w:color w:val="auto"/>
          <w:sz w:val="32"/>
          <w:szCs w:val="32"/>
        </w:rPr>
        <w:t>增加102.886.00</w:t>
      </w:r>
      <w:r>
        <w:rPr>
          <w:rFonts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rPr>
        <w:t>增长了93</w:t>
      </w:r>
      <w:r>
        <w:rPr>
          <w:rFonts w:ascii="Times New Roman" w:hAnsi="Times New Roman" w:eastAsia="仿宋_GB2312" w:cs="Times New Roman"/>
          <w:color w:val="auto"/>
          <w:sz w:val="32"/>
          <w:szCs w:val="32"/>
        </w:rPr>
        <w:t>%。</w:t>
      </w:r>
    </w:p>
    <w:p>
      <w:pPr>
        <w:pStyle w:val="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4.资本性支出（基本建设）</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rPr>
        <w:t>无</w:t>
      </w:r>
      <w:r>
        <w:rPr>
          <w:rFonts w:ascii="Times New Roman" w:hAnsi="Times New Roman" w:eastAsia="仿宋_GB2312" w:cs="Times New Roman"/>
          <w:color w:val="auto"/>
          <w:sz w:val="32"/>
          <w:szCs w:val="32"/>
        </w:rPr>
        <w:t>；较2018年度决算数增加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5.资本性支出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rPr>
        <w:t>无</w:t>
      </w:r>
      <w:r>
        <w:rPr>
          <w:rFonts w:ascii="Times New Roman" w:hAnsi="Times New Roman" w:eastAsia="仿宋_GB2312" w:cs="Times New Roman"/>
          <w:color w:val="auto"/>
          <w:sz w:val="32"/>
          <w:szCs w:val="32"/>
        </w:rPr>
        <w:t>；较2018年度决算数增加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6.对企业补助（基本建设）</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rPr>
        <w:t>无</w:t>
      </w:r>
      <w:r>
        <w:rPr>
          <w:rFonts w:ascii="Times New Roman" w:hAnsi="Times New Roman" w:eastAsia="仿宋_GB2312" w:cs="Times New Roman"/>
          <w:color w:val="auto"/>
          <w:sz w:val="32"/>
          <w:szCs w:val="32"/>
        </w:rPr>
        <w:t>；较2018年度决算数增加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7.对企业补助</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rPr>
        <w:t>无</w:t>
      </w:r>
      <w:r>
        <w:rPr>
          <w:rFonts w:ascii="Times New Roman" w:hAnsi="Times New Roman" w:eastAsia="仿宋_GB2312" w:cs="Times New Roman"/>
          <w:color w:val="auto"/>
          <w:sz w:val="32"/>
          <w:szCs w:val="32"/>
        </w:rPr>
        <w:t>；较2018年度决算数增加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7"/>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元，较2019年度年初预算数增加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元，增长</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%；主要原因</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；较2018年度决算数增加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元，增长</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pPr>
        <w:spacing w:line="560" w:lineRule="exact"/>
        <w:ind w:firstLine="643" w:firstLineChars="200"/>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七、一般公共预算财政拨款“三公”经费支出决算情况说明</w:t>
      </w:r>
    </w:p>
    <w:p>
      <w:pPr>
        <w:autoSpaceDE w:val="0"/>
        <w:autoSpaceDN w:val="0"/>
        <w:adjustRightInd w:val="0"/>
        <w:spacing w:line="560" w:lineRule="exact"/>
        <w:ind w:left="477" w:leftChars="227" w:firstLine="154" w:firstLineChars="48"/>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（一）“三公”经费一般公共预算财政拨款支出决算</w:t>
      </w:r>
    </w:p>
    <w:p>
      <w:pPr>
        <w:autoSpaceDE w:val="0"/>
        <w:autoSpaceDN w:val="0"/>
        <w:adjustRightInd w:val="0"/>
        <w:spacing w:line="560" w:lineRule="exact"/>
        <w:ind w:firstLine="151" w:firstLineChars="47"/>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总体情况说明。</w:t>
      </w:r>
      <w:r>
        <w:rPr>
          <w:rFonts w:ascii="Times New Roman" w:hAnsi="Times New Roman" w:eastAsia="仿宋_GB2312" w:cs="Times New Roman"/>
          <w:kern w:val="0"/>
          <w:sz w:val="32"/>
          <w:szCs w:val="32"/>
        </w:rPr>
        <w:t>2019年度“三公”经费一般公共预算财政拨款支出预算为</w:t>
      </w:r>
      <w:r>
        <w:rPr>
          <w:rFonts w:hint="eastAsia" w:ascii="Times New Roman" w:hAnsi="Times New Roman" w:eastAsia="仿宋_GB2312" w:cs="Times New Roman"/>
          <w:kern w:val="0"/>
          <w:sz w:val="32"/>
          <w:szCs w:val="32"/>
        </w:rPr>
        <w:t>29.000.00</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rPr>
        <w:t>24.000.00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rPr>
        <w:t>82.75</w:t>
      </w:r>
      <w:r>
        <w:rPr>
          <w:rFonts w:ascii="Times New Roman" w:hAnsi="Times New Roman" w:eastAsia="仿宋_GB2312" w:cs="Times New Roman"/>
          <w:kern w:val="0"/>
          <w:sz w:val="32"/>
          <w:szCs w:val="32"/>
        </w:rPr>
        <w:t>%，2019年度“三公”经费支出决算数小于预算数的主要原因：</w:t>
      </w:r>
      <w:r>
        <w:rPr>
          <w:rFonts w:hint="eastAsia" w:ascii="Times New Roman" w:hAnsi="Times New Roman" w:eastAsia="仿宋_GB2312" w:cs="Times New Roman"/>
          <w:kern w:val="0"/>
          <w:sz w:val="32"/>
          <w:szCs w:val="32"/>
        </w:rPr>
        <w:t>2019年将公务接待费列入预算，2019年未产生公务接待费</w:t>
      </w:r>
      <w:r>
        <w:rPr>
          <w:rFonts w:ascii="Times New Roman" w:hAnsi="Times New Roman" w:eastAsia="仿宋_GB2312" w:cs="Times New Roman"/>
          <w:kern w:val="0"/>
          <w:sz w:val="32"/>
          <w:szCs w:val="32"/>
        </w:rPr>
        <w:t>。</w:t>
      </w:r>
    </w:p>
    <w:p>
      <w:pPr>
        <w:autoSpaceDE w:val="0"/>
        <w:autoSpaceDN w:val="0"/>
        <w:adjustRightInd w:val="0"/>
        <w:spacing w:line="560" w:lineRule="exact"/>
        <w:ind w:firstLine="656" w:firstLineChars="20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2019年度“三公”经费一般公共预算财政拨款支出决算数比2018年度</w:t>
      </w:r>
      <w:r>
        <w:rPr>
          <w:rFonts w:hint="eastAsia" w:ascii="Times New Roman" w:hAnsi="Times New Roman" w:eastAsia="仿宋_GB2312" w:cs="Times New Roman"/>
          <w:kern w:val="0"/>
          <w:sz w:val="32"/>
          <w:szCs w:val="32"/>
        </w:rPr>
        <w:t>相比一样</w:t>
      </w:r>
      <w:r>
        <w:rPr>
          <w:rFonts w:ascii="Times New Roman" w:hAnsi="Times New Roman" w:eastAsia="仿宋_GB2312" w:cs="Times New Roman"/>
          <w:kern w:val="0"/>
          <w:sz w:val="32"/>
          <w:szCs w:val="32"/>
        </w:rPr>
        <w:t>，公务用车购置及运行费支出决算</w:t>
      </w:r>
      <w:r>
        <w:rPr>
          <w:rFonts w:hint="eastAsia" w:ascii="Times New Roman" w:hAnsi="Times New Roman" w:eastAsia="仿宋_GB2312" w:cs="Times New Roman"/>
          <w:kern w:val="0"/>
          <w:sz w:val="32"/>
          <w:szCs w:val="32"/>
        </w:rPr>
        <w:t>相同，</w:t>
      </w:r>
      <w:r>
        <w:rPr>
          <w:rFonts w:ascii="Times New Roman" w:hAnsi="Times New Roman" w:eastAsia="仿宋_GB2312" w:cs="Times New Roman"/>
          <w:kern w:val="0"/>
          <w:sz w:val="32"/>
          <w:szCs w:val="32"/>
        </w:rPr>
        <w:t>公务接待费支出决算减少</w:t>
      </w:r>
      <w:r>
        <w:rPr>
          <w:rFonts w:hint="eastAsia" w:ascii="Times New Roman" w:hAnsi="Times New Roman" w:eastAsia="仿宋_GB2312" w:cs="Times New Roman"/>
          <w:kern w:val="0"/>
          <w:sz w:val="32"/>
          <w:szCs w:val="32"/>
        </w:rPr>
        <w:t>5.000.00</w:t>
      </w:r>
      <w:r>
        <w:rPr>
          <w:rFonts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%；因公出国（境）费</w:t>
      </w:r>
      <w:r>
        <w:rPr>
          <w:rFonts w:hint="eastAsia" w:ascii="Times New Roman" w:hAnsi="Times New Roman" w:eastAsia="仿宋_GB2312" w:cs="Times New Roman"/>
          <w:kern w:val="0"/>
          <w:sz w:val="32"/>
          <w:szCs w:val="32"/>
        </w:rPr>
        <w:t>无</w:t>
      </w:r>
      <w:r>
        <w:rPr>
          <w:rFonts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主要原因</w:t>
      </w:r>
      <w:r>
        <w:rPr>
          <w:rFonts w:hint="eastAsia" w:ascii="Times New Roman" w:hAnsi="Times New Roman" w:eastAsia="仿宋_GB2312" w:cs="Times New Roman"/>
          <w:kern w:val="0"/>
          <w:sz w:val="32"/>
          <w:szCs w:val="32"/>
        </w:rPr>
        <w:t>未产生相干业务</w:t>
      </w:r>
      <w:r>
        <w:rPr>
          <w:rFonts w:ascii="Times New Roman" w:hAnsi="Times New Roman" w:eastAsia="仿宋_GB2312" w:cs="Times New Roman"/>
          <w:kern w:val="0"/>
          <w:sz w:val="32"/>
          <w:szCs w:val="32"/>
        </w:rPr>
        <w:t>；公务用车购置及运行费支出减少的主要原因是严格规范公务用车管理，实施公车改革制度，从而减少公务用车购置及运行维护经费；公务接待费支出减少的主要原因是</w:t>
      </w:r>
      <w:r>
        <w:rPr>
          <w:rFonts w:hint="eastAsia" w:ascii="Times New Roman" w:hAnsi="Times New Roman" w:eastAsia="仿宋_GB2312" w:cs="Times New Roman"/>
          <w:kern w:val="0"/>
          <w:sz w:val="32"/>
          <w:szCs w:val="32"/>
        </w:rPr>
        <w:t>未公务接待，无费用支出</w:t>
      </w:r>
      <w:r>
        <w:rPr>
          <w:rFonts w:ascii="Times New Roman" w:hAnsi="Times New Roman" w:eastAsia="仿宋_GB2312" w:cs="Times New Roman"/>
          <w:kern w:val="0"/>
          <w:sz w:val="32"/>
          <w:szCs w:val="32"/>
        </w:rPr>
        <w:t>。</w:t>
      </w:r>
    </w:p>
    <w:p>
      <w:pPr>
        <w:pStyle w:val="7"/>
        <w:spacing w:line="56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（二）“三公”经费一般公共预算财政拨款支出决算具体情况说明。</w:t>
      </w:r>
      <w:r>
        <w:rPr>
          <w:rFonts w:ascii="Times New Roman" w:hAnsi="Times New Roman" w:eastAsia="仿宋_GB2312" w:cs="Times New Roman"/>
          <w:color w:val="auto"/>
          <w:sz w:val="32"/>
          <w:szCs w:val="32"/>
        </w:rPr>
        <w:t>2019年度“三公”经费一般公共预算财政拨款支出决算中，因公出国（境）费支出决算</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%；公务用车购置及运行费支出决</w:t>
      </w:r>
      <w:r>
        <w:rPr>
          <w:rFonts w:hint="eastAsia" w:ascii="Times New Roman" w:hAnsi="Times New Roman" w:eastAsia="仿宋_GB2312" w:cs="Times New Roman"/>
          <w:color w:val="auto"/>
          <w:sz w:val="32"/>
          <w:szCs w:val="32"/>
        </w:rPr>
        <w:t>算</w:t>
      </w:r>
      <w:r>
        <w:rPr>
          <w:rFonts w:hint="eastAsia" w:ascii="Times New Roman" w:hAnsi="Times New Roman" w:eastAsia="仿宋_GB2312" w:cs="Times New Roman"/>
          <w:sz w:val="32"/>
          <w:szCs w:val="32"/>
        </w:rPr>
        <w:t>24.000.</w:t>
      </w:r>
      <w:r>
        <w:rPr>
          <w:rFonts w:ascii="Times New Roman" w:hAnsi="Times New Roman" w:eastAsia="仿宋_GB2312" w:cs="Times New Roman"/>
          <w:sz w:val="32"/>
          <w:szCs w:val="32"/>
        </w:rPr>
        <w:t>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%；公务接待费支出决算</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%。具体情况如下：</w:t>
      </w:r>
    </w:p>
    <w:p>
      <w:pPr>
        <w:pStyle w:val="7"/>
        <w:spacing w:line="560" w:lineRule="exact"/>
        <w:ind w:firstLine="630" w:firstLineChars="196"/>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1.因公出国（境）费</w:t>
      </w:r>
      <w:r>
        <w:rPr>
          <w:rFonts w:ascii="Times New Roman" w:hAnsi="Times New Roman" w:eastAsia="仿宋_GB2312" w:cs="Times New Roman"/>
          <w:bCs/>
          <w:color w:val="auto"/>
          <w:sz w:val="32"/>
          <w:szCs w:val="32"/>
        </w:rPr>
        <w:t>预算为</w:t>
      </w:r>
      <w:r>
        <w:rPr>
          <w:rFonts w:hint="eastAsia" w:ascii="Times New Roman" w:hAnsi="Times New Roman" w:eastAsia="仿宋_GB2312" w:cs="Times New Roman"/>
          <w:bCs/>
          <w:color w:val="auto"/>
          <w:sz w:val="32"/>
          <w:szCs w:val="32"/>
        </w:rPr>
        <w:t>0</w:t>
      </w:r>
      <w:r>
        <w:rPr>
          <w:rFonts w:ascii="Times New Roman" w:hAnsi="Times New Roman" w:eastAsia="仿宋_GB2312" w:cs="Times New Roman"/>
          <w:bCs/>
          <w:color w:val="auto"/>
          <w:sz w:val="32"/>
          <w:szCs w:val="32"/>
        </w:rPr>
        <w:t>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2019年度因公出国（境）团组数</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个，因公出国（境）人次数</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人次。开支内容包括：</w:t>
      </w:r>
      <w:r>
        <w:rPr>
          <w:rFonts w:hint="eastAsia" w:ascii="Times New Roman" w:hAnsi="Times New Roman" w:eastAsia="仿宋_GB2312" w:cs="Times New Roman"/>
          <w:color w:val="auto"/>
          <w:sz w:val="32"/>
          <w:szCs w:val="32"/>
        </w:rPr>
        <w:t>无开支</w:t>
      </w:r>
      <w:r>
        <w:rPr>
          <w:rFonts w:ascii="Times New Roman" w:hAnsi="Times New Roman" w:eastAsia="仿宋_GB2312" w:cs="Times New Roman"/>
          <w:color w:val="auto"/>
          <w:sz w:val="32"/>
          <w:szCs w:val="32"/>
        </w:rPr>
        <w:t xml:space="preserve">。 </w:t>
      </w:r>
    </w:p>
    <w:p>
      <w:pPr>
        <w:autoSpaceDE w:val="0"/>
        <w:autoSpaceDN w:val="0"/>
        <w:adjustRightInd w:val="0"/>
        <w:spacing w:line="560" w:lineRule="exact"/>
        <w:ind w:firstLine="630" w:firstLineChars="196"/>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2.公务用车购置及运行维护费</w:t>
      </w:r>
      <w:r>
        <w:rPr>
          <w:rFonts w:ascii="Times New Roman" w:hAnsi="Times New Roman" w:eastAsia="仿宋_GB2312" w:cs="Times New Roman"/>
          <w:kern w:val="0"/>
          <w:sz w:val="32"/>
          <w:szCs w:val="32"/>
        </w:rPr>
        <w:t>预算为</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00.00元，支出决算为</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00.00元，完成预算的</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w:t>
      </w:r>
      <w:r>
        <w:rPr>
          <w:rFonts w:ascii="Times New Roman" w:hAnsi="Times New Roman" w:eastAsia="仿宋_GB2312" w:cs="Times New Roman"/>
          <w:b/>
          <w:kern w:val="0"/>
          <w:sz w:val="32"/>
          <w:szCs w:val="32"/>
        </w:rPr>
        <w:t>。</w:t>
      </w:r>
      <w:r>
        <w:rPr>
          <w:rFonts w:ascii="Times New Roman" w:hAnsi="Times New Roman" w:eastAsia="仿宋_GB2312" w:cs="Times New Roman"/>
          <w:kern w:val="0"/>
          <w:sz w:val="32"/>
          <w:szCs w:val="32"/>
        </w:rPr>
        <w:t>其中：公务用车购置费支出为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元，公务用车运行维护费支出</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00.00元，主要用于车辆燃油费及车辆维修费等。2019年度一般公共预算财政拨款开支的公务用车购置数</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辆，公务用车保有量为</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 xml:space="preserve">辆。 </w:t>
      </w:r>
    </w:p>
    <w:p>
      <w:pPr>
        <w:autoSpaceDE w:val="0"/>
        <w:autoSpaceDN w:val="0"/>
        <w:adjustRightInd w:val="0"/>
        <w:spacing w:line="560" w:lineRule="exact"/>
        <w:ind w:firstLine="630" w:firstLineChars="196"/>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3.公务接待费</w:t>
      </w:r>
      <w:r>
        <w:rPr>
          <w:rFonts w:ascii="Times New Roman" w:hAnsi="Times New Roman" w:eastAsia="仿宋_GB2312" w:cs="Times New Roman"/>
          <w:bCs/>
          <w:kern w:val="0"/>
          <w:sz w:val="32"/>
          <w:szCs w:val="32"/>
        </w:rPr>
        <w:t>预算为</w:t>
      </w:r>
      <w:r>
        <w:rPr>
          <w:rFonts w:hint="eastAsia" w:ascii="Times New Roman" w:hAnsi="Times New Roman" w:eastAsia="仿宋_GB2312" w:cs="Times New Roman"/>
          <w:kern w:val="0"/>
          <w:sz w:val="32"/>
          <w:szCs w:val="32"/>
        </w:rPr>
        <w:t>5.0</w:t>
      </w:r>
      <w:r>
        <w:rPr>
          <w:rFonts w:ascii="Times New Roman" w:hAnsi="Times New Roman" w:eastAsia="仿宋_GB2312" w:cs="Times New Roman"/>
          <w:kern w:val="0"/>
          <w:sz w:val="32"/>
          <w:szCs w:val="32"/>
        </w:rPr>
        <w:t>00.00</w:t>
      </w:r>
      <w:r>
        <w:rPr>
          <w:rFonts w:ascii="Times New Roman" w:hAnsi="Times New Roman" w:eastAsia="仿宋_GB2312" w:cs="Times New Roman"/>
          <w:bCs/>
          <w:kern w:val="0"/>
          <w:sz w:val="32"/>
          <w:szCs w:val="32"/>
        </w:rPr>
        <w:t>元，</w:t>
      </w:r>
      <w:r>
        <w:rPr>
          <w:rFonts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%。其中：国内接待费支出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元。国（境）外接待费支出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元。2019年度国内公务接待批次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个，国内公务接待人次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人，国（境）外公务接待批次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个，国（境）外公务接待人次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人。</w:t>
      </w:r>
    </w:p>
    <w:p>
      <w:pPr>
        <w:spacing w:line="56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八、政府性基金预算财政拨款收入支出决算情况说明</w:t>
      </w:r>
    </w:p>
    <w:p>
      <w:pPr>
        <w:pStyle w:val="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2019年度政府性基金预算财政拨款本年收入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元。较2018年度决算数增加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rPr>
        <w:t>无</w:t>
      </w:r>
      <w:r>
        <w:rPr>
          <w:rFonts w:ascii="Times New Roman" w:hAnsi="Times New Roman" w:eastAsia="仿宋_GB2312" w:cs="Times New Roman"/>
          <w:color w:val="auto"/>
          <w:sz w:val="32"/>
          <w:szCs w:val="32"/>
        </w:rPr>
        <w:t>。</w:t>
      </w:r>
    </w:p>
    <w:p>
      <w:pPr>
        <w:pStyle w:val="7"/>
        <w:spacing w:line="560" w:lineRule="exact"/>
        <w:ind w:firstLine="643" w:firstLineChars="200"/>
        <w:rPr>
          <w:rFonts w:ascii="Times New Roman" w:hAnsi="Times New Roman" w:cs="Times New Roman"/>
        </w:rPr>
      </w:pPr>
      <w:r>
        <w:rPr>
          <w:rFonts w:ascii="Times New Roman" w:hAnsi="Times New Roman" w:eastAsia="楷体_GB2312" w:cs="Times New Roman"/>
          <w:b/>
          <w:bCs/>
          <w:sz w:val="32"/>
          <w:szCs w:val="32"/>
        </w:rPr>
        <w:t>九、其他重要事项的情况说明</w:t>
      </w:r>
    </w:p>
    <w:p>
      <w:pPr>
        <w:spacing w:line="56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w:t>
      </w:r>
      <w:r>
        <w:rPr>
          <w:rFonts w:hint="eastAsia" w:ascii="Times New Roman" w:hAnsi="Times New Roman" w:eastAsia="仿宋_GB2312" w:cs="Times New Roman"/>
          <w:b/>
          <w:kern w:val="0"/>
          <w:sz w:val="32"/>
          <w:szCs w:val="32"/>
        </w:rPr>
        <w:t>机关</w:t>
      </w:r>
      <w:r>
        <w:rPr>
          <w:rFonts w:ascii="Times New Roman" w:hAnsi="Times New Roman" w:eastAsia="仿宋_GB2312" w:cs="Times New Roman"/>
          <w:b/>
          <w:kern w:val="0"/>
          <w:sz w:val="32"/>
          <w:szCs w:val="32"/>
        </w:rPr>
        <w:t>运行经费支出情况说明</w:t>
      </w:r>
    </w:p>
    <w:p>
      <w:pPr>
        <w:pStyle w:val="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2019年度本部门机关运行经费支出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w:t>
      </w:r>
      <w:r>
        <w:rPr>
          <w:rFonts w:hint="eastAsia" w:ascii="Times New Roman" w:hAnsi="Times New Roman" w:eastAsia="仿宋_GB2312" w:cs="Times New Roman"/>
          <w:sz w:val="30"/>
        </w:rPr>
        <w:t>。</w:t>
      </w:r>
    </w:p>
    <w:p>
      <w:pPr>
        <w:spacing w:line="56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（二）政府采购情况说明</w:t>
      </w:r>
    </w:p>
    <w:p>
      <w:pPr>
        <w:widowControl/>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2019年度本部门政府采购支出总额</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元。其中：政府采购货物支出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元、政府采购工程支出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元、政府采购服务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元。授予中小企业合同金额</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元，占政府采购支出总额的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%，其中：授予小微企业合同金额</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元，占政府采购支出总额的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p>
    <w:p>
      <w:pPr>
        <w:spacing w:line="56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（三）国有资产占有使用情况说明</w:t>
      </w:r>
    </w:p>
    <w:p>
      <w:pPr>
        <w:spacing w:line="580" w:lineRule="exact"/>
        <w:ind w:firstLine="640" w:firstLineChars="200"/>
        <w:rPr>
          <w:rFonts w:ascii="仿宋_GB2312" w:eastAsia="仿宋_GB2312"/>
          <w:sz w:val="32"/>
          <w:szCs w:val="32"/>
        </w:rPr>
      </w:pPr>
      <w:r>
        <w:rPr>
          <w:rFonts w:ascii="Times New Roman" w:hAnsi="Times New Roman" w:eastAsia="仿宋_GB2312" w:cs="Times New Roman"/>
          <w:kern w:val="0"/>
          <w:sz w:val="32"/>
          <w:szCs w:val="32"/>
        </w:rPr>
        <w:t>截至2019年12月31日，本部门房屋面积</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平方米</w:t>
      </w:r>
      <w:r>
        <w:rPr>
          <w:rFonts w:hint="eastAsia" w:ascii="Times New Roman" w:hAnsi="Times New Roman" w:eastAsia="仿宋_GB2312" w:cs="Times New Roman"/>
          <w:kern w:val="0"/>
          <w:sz w:val="32"/>
          <w:szCs w:val="32"/>
        </w:rPr>
        <w:t>，</w:t>
      </w:r>
      <w:r>
        <w:rPr>
          <w:rFonts w:hint="eastAsia" w:ascii="仿宋_GB2312" w:eastAsia="仿宋_GB2312"/>
          <w:sz w:val="32"/>
          <w:szCs w:val="32"/>
        </w:rPr>
        <w:t>车辆数合计73辆，其中：公务用车1辆，一般执勤用车6辆；其他专用车66辆(农村能源管理沼气用车，项目统一配备农户使用)。</w:t>
      </w:r>
    </w:p>
    <w:p>
      <w:pPr>
        <w:widowControl/>
        <w:spacing w:line="560" w:lineRule="exact"/>
        <w:ind w:firstLine="480"/>
        <w:jc w:val="left"/>
      </w:pPr>
      <w:r>
        <w:rPr>
          <w:rFonts w:ascii="Times New Roman" w:hAnsi="Times New Roman" w:eastAsia="仿宋_GB2312" w:cs="Times New Roman"/>
          <w:kern w:val="0"/>
          <w:sz w:val="32"/>
          <w:szCs w:val="32"/>
        </w:rPr>
        <w:t>共有车辆</w:t>
      </w:r>
      <w:r>
        <w:rPr>
          <w:rFonts w:hint="eastAsia" w:ascii="Times New Roman" w:hAnsi="Times New Roman" w:eastAsia="仿宋_GB2312" w:cs="Times New Roman"/>
          <w:kern w:val="0"/>
          <w:sz w:val="32"/>
          <w:szCs w:val="32"/>
        </w:rPr>
        <w:t>88</w:t>
      </w:r>
      <w:r>
        <w:rPr>
          <w:rFonts w:ascii="Times New Roman" w:hAnsi="Times New Roman" w:eastAsia="仿宋_GB2312" w:cs="Times New Roman"/>
          <w:kern w:val="0"/>
          <w:sz w:val="32"/>
          <w:szCs w:val="32"/>
        </w:rPr>
        <w:t>辆，其中：领导干部用车</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辆、一般公务用车</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rPr>
        <w:t>、</w:t>
      </w:r>
      <w:r>
        <w:rPr>
          <w:rFonts w:hint="eastAsia" w:ascii="仿宋_GB2312" w:eastAsia="仿宋_GB2312"/>
          <w:sz w:val="32"/>
          <w:szCs w:val="32"/>
        </w:rPr>
        <w:t>一般业务用车13辆，乡镇7辆；其他专用车66辆(农村能源管理沼气用车，项目统一配备农户使用)</w:t>
      </w:r>
      <w:r>
        <w:rPr>
          <w:rFonts w:ascii="仿宋_GB2312" w:eastAsia="仿宋_GB2312"/>
          <w:sz w:val="32"/>
          <w:szCs w:val="32"/>
        </w:rPr>
        <w:t>；单价5</w:t>
      </w:r>
      <w:r>
        <w:rPr>
          <w:rFonts w:ascii="仿宋" w:hAnsi="仿宋" w:eastAsia="仿宋" w:cs="Times New Roman"/>
          <w:kern w:val="0"/>
          <w:sz w:val="32"/>
          <w:szCs w:val="32"/>
        </w:rPr>
        <w:t>0</w:t>
      </w:r>
      <w:r>
        <w:rPr>
          <w:rFonts w:ascii="Times New Roman" w:hAnsi="Times New Roman" w:eastAsia="仿宋_GB2312" w:cs="Times New Roman"/>
          <w:kern w:val="0"/>
          <w:sz w:val="32"/>
          <w:szCs w:val="32"/>
        </w:rPr>
        <w:t>万元以上通用设备</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台（套），单价100万元以上专用设备</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台（套）。</w:t>
      </w:r>
    </w:p>
    <w:p>
      <w:pPr>
        <w:spacing w:line="56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（四）预算绩效管理工作开展情况说明</w:t>
      </w:r>
    </w:p>
    <w:p>
      <w:pPr>
        <w:spacing w:line="56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 xml:space="preserve">1.绩效管理工作开展情况。 </w:t>
      </w:r>
      <w:r>
        <w:rPr>
          <w:rFonts w:ascii="Times New Roman" w:hAnsi="Times New Roman" w:eastAsia="仿宋_GB2312" w:cs="Times New Roman"/>
          <w:kern w:val="0"/>
          <w:sz w:val="32"/>
          <w:szCs w:val="32"/>
        </w:rPr>
        <w:t>根据预算绩效管理要求，</w:t>
      </w:r>
      <w:r>
        <w:rPr>
          <w:rFonts w:hint="eastAsia" w:ascii="Times New Roman" w:hAnsi="Times New Roman" w:eastAsia="仿宋_GB2312" w:cs="Times New Roman"/>
          <w:kern w:val="0"/>
          <w:sz w:val="32"/>
          <w:szCs w:val="32"/>
        </w:rPr>
        <w:t>本部门</w:t>
      </w:r>
      <w:r>
        <w:rPr>
          <w:rFonts w:ascii="Times New Roman" w:hAnsi="Times New Roman" w:eastAsia="仿宋_GB2312" w:cs="Times New Roman"/>
          <w:kern w:val="0"/>
          <w:sz w:val="32"/>
          <w:szCs w:val="32"/>
        </w:rPr>
        <w:t>组织对2019年度一般公共预算项目支出全面开展绩效自评。其中，一级项目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个，二级项目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个，共涉及预算资金</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万元，自评覆盖率达到</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w:t>
      </w:r>
    </w:p>
    <w:p>
      <w:pPr>
        <w:spacing w:line="560" w:lineRule="exact"/>
        <w:ind w:firstLine="643"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2.部门决算中项目绩效自评结果</w:t>
      </w:r>
      <w:r>
        <w:rPr>
          <w:rFonts w:hint="eastAsia" w:ascii="Times New Roman" w:hAnsi="Times New Roman" w:eastAsia="仿宋_GB2312" w:cs="Times New Roman"/>
          <w:b/>
          <w:kern w:val="0"/>
          <w:sz w:val="32"/>
          <w:szCs w:val="32"/>
        </w:rPr>
        <w:t>。</w:t>
      </w:r>
      <w:r>
        <w:rPr>
          <w:rFonts w:hint="eastAsia" w:ascii="Times New Roman" w:hAnsi="Times New Roman" w:eastAsia="仿宋_GB2312" w:cs="Times New Roman"/>
          <w:kern w:val="0"/>
          <w:sz w:val="32"/>
          <w:szCs w:val="32"/>
        </w:rPr>
        <w:t>我局</w:t>
      </w:r>
      <w:r>
        <w:rPr>
          <w:rFonts w:ascii="Times New Roman" w:hAnsi="Times New Roman" w:eastAsia="仿宋_GB2312" w:cs="Times New Roman"/>
          <w:kern w:val="0"/>
          <w:sz w:val="32"/>
          <w:szCs w:val="32"/>
        </w:rPr>
        <w:t>今年在部门决算中</w:t>
      </w:r>
      <w:r>
        <w:rPr>
          <w:rFonts w:hint="eastAsia" w:ascii="Times New Roman" w:hAnsi="Times New Roman" w:eastAsia="仿宋_GB2312" w:cs="Times New Roman"/>
          <w:kern w:val="0"/>
          <w:sz w:val="32"/>
          <w:szCs w:val="32"/>
        </w:rPr>
        <w:t>未</w:t>
      </w:r>
      <w:r>
        <w:rPr>
          <w:rFonts w:ascii="Times New Roman" w:hAnsi="Times New Roman" w:eastAsia="仿宋_GB2312" w:cs="Times New Roman"/>
          <w:kern w:val="0"/>
          <w:sz w:val="32"/>
          <w:szCs w:val="32"/>
        </w:rPr>
        <w:t>增加项目绩效评价结果。根据年初设定的绩效目标，</w:t>
      </w:r>
      <w:r>
        <w:rPr>
          <w:rFonts w:hint="eastAsia" w:ascii="Times New Roman" w:hAnsi="Times New Roman" w:eastAsia="仿宋_GB2312" w:cs="Times New Roman"/>
          <w:kern w:val="0"/>
          <w:sz w:val="32"/>
          <w:szCs w:val="32"/>
        </w:rPr>
        <w:t>无</w:t>
      </w:r>
      <w:r>
        <w:rPr>
          <w:rFonts w:ascii="Times New Roman" w:hAnsi="Times New Roman" w:eastAsia="仿宋_GB2312" w:cs="Times New Roman"/>
          <w:kern w:val="0"/>
          <w:sz w:val="32"/>
          <w:szCs w:val="32"/>
        </w:rPr>
        <w:t>项目自评得分。发现的主要问题：部门预算编制不够全面。下一步改进措施：一是加大部门收入预算编制的完整性。二是规范单位财务管理，严格财经制度，规范财务管理，提高管理水平。</w:t>
      </w:r>
    </w:p>
    <w:p>
      <w:pPr>
        <w:spacing w:line="560" w:lineRule="exact"/>
        <w:ind w:firstLine="643" w:firstLineChars="200"/>
        <w:outlineLvl w:val="1"/>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3.以财政厅为主体开展的重点项目绩效评价结果。</w:t>
      </w:r>
    </w:p>
    <w:p>
      <w:pPr>
        <w:pStyle w:val="2"/>
        <w:spacing w:line="560" w:lineRule="exact"/>
        <w:ind w:firstLine="640" w:firstLineChars="200"/>
      </w:pPr>
      <w:r>
        <w:rPr>
          <w:rFonts w:hint="eastAsia" w:ascii="Times New Roman" w:hAnsi="Times New Roman" w:eastAsia="仿宋_GB2312" w:cs="Times New Roman"/>
          <w:kern w:val="0"/>
          <w:sz w:val="32"/>
          <w:szCs w:val="32"/>
        </w:rPr>
        <w:t>无以财政厅为主体开展的重点项目绩效评价。</w:t>
      </w:r>
    </w:p>
    <w:p>
      <w:pPr>
        <w:spacing w:line="560" w:lineRule="exact"/>
        <w:ind w:firstLine="643" w:firstLineChars="200"/>
        <w:outlineLvl w:val="1"/>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4.以部门为主体开展的重点项目绩效评价结果。</w:t>
      </w:r>
    </w:p>
    <w:p>
      <w:pPr>
        <w:pStyle w:val="2"/>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无以本部门为主体开展的重点项目绩效评价。</w:t>
      </w:r>
    </w:p>
    <w:p>
      <w:pPr>
        <w:rPr>
          <w:rFonts w:ascii="Times New Roman" w:hAnsi="Times New Roman" w:eastAsia="黑体" w:cs="Times New Roman"/>
          <w:kern w:val="0"/>
          <w:sz w:val="36"/>
          <w:szCs w:val="36"/>
        </w:rPr>
      </w:pPr>
      <w:r>
        <w:rPr>
          <w:rFonts w:ascii="Times New Roman" w:hAnsi="Times New Roman" w:eastAsia="黑体" w:cs="Times New Roman"/>
          <w:kern w:val="0"/>
          <w:sz w:val="36"/>
          <w:szCs w:val="36"/>
        </w:rPr>
        <w:br w:type="page"/>
      </w:r>
    </w:p>
    <w:p>
      <w:pPr>
        <w:spacing w:beforeLines="50" w:line="56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第四部分  名词解释</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1、财政拨款收入：指单位从同级财政部门取得的财政预算资金。</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2、基本支出：指单位为保障其机构正常运转、完 成日常工作任务而发生的人员支出和公用支出。</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3、项目支出：指单位为完成特定行政任务和事业发展目标在基本支出之外所发生的支出。</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4、年末结转和结余：指单位按有关规定结转到下年或以后年度继续使用的资金。</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5、年初结转和结余：指单位以前年度尚未完成、结转到本年按有关规定继续使用的资金。</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6、人员经费 ：指单位用于职工个人方面的费用支出。</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7、日常公用经费：是指单位用一般公共预算财政拨款安排的除人员经费以外的基本支出。</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8、项目支出：指单位为完成特定行政任务和事业发展目标在基本支出之外所发生的支出。</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9、三公经费支出：指政府部门人员因公出国（境）经费、公务车购置及运行费、公务招待费产生的消费。</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公务接待费：是指具有社会公共管理职能的党政机关及其公职人员，对因履行社会公共管理职责而来访的公职人员，使用政府公共财政资金和其他公共资金，为其提供必要的生活与工作服务的社会交往过程产生的相关费用。</w:t>
      </w:r>
    </w:p>
    <w:p>
      <w:pPr>
        <w:widowControl/>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11、公务用车购置及支行维护费：是指公务用车在购置和使用过程中产生的费用。</w:t>
      </w:r>
    </w:p>
    <w:p>
      <w:pPr>
        <w:spacing w:beforeLines="50" w:line="56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第五部分    附件</w:t>
      </w:r>
    </w:p>
    <w:p>
      <w:pPr>
        <w:spacing w:beforeLines="50" w:line="560" w:lineRule="exact"/>
        <w:ind w:firstLine="156" w:firstLineChars="49"/>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无</w:t>
      </w:r>
    </w:p>
    <w:p>
      <w:pPr>
        <w:spacing w:beforeLines="50" w:line="560" w:lineRule="exact"/>
        <w:ind w:firstLine="156" w:firstLineChars="49"/>
        <w:outlineLvl w:val="1"/>
        <w:rPr>
          <w:rFonts w:ascii="Times New Roman" w:hAnsi="Times New Roman" w:eastAsia="仿宋_GB2312" w:cs="Times New Roman"/>
          <w:kern w:val="0"/>
          <w:sz w:val="32"/>
          <w:szCs w:val="32"/>
        </w:rPr>
      </w:pPr>
    </w:p>
    <w:sectPr>
      <w:footerReference r:id="rId3" w:type="default"/>
      <w:footerReference r:id="rId4" w:type="even"/>
      <w:pgSz w:w="11906" w:h="16838"/>
      <w:pgMar w:top="2098" w:right="1474" w:bottom="198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dit="readOnly" w:enforcement="0"/>
  <w:defaultTabStop w:val="420"/>
  <w:drawingGridHorizontalSpacing w:val="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C43"/>
    <w:rsid w:val="00012D88"/>
    <w:rsid w:val="00093469"/>
    <w:rsid w:val="00131AE6"/>
    <w:rsid w:val="00137E4C"/>
    <w:rsid w:val="0016795F"/>
    <w:rsid w:val="00171EA7"/>
    <w:rsid w:val="001E1133"/>
    <w:rsid w:val="001E2B95"/>
    <w:rsid w:val="0021691A"/>
    <w:rsid w:val="00242E96"/>
    <w:rsid w:val="002769DE"/>
    <w:rsid w:val="002C0B5F"/>
    <w:rsid w:val="002C6765"/>
    <w:rsid w:val="002D6976"/>
    <w:rsid w:val="003522CE"/>
    <w:rsid w:val="00417435"/>
    <w:rsid w:val="00443FC8"/>
    <w:rsid w:val="0048620D"/>
    <w:rsid w:val="004B6A79"/>
    <w:rsid w:val="004F26C6"/>
    <w:rsid w:val="00516CD6"/>
    <w:rsid w:val="005266CD"/>
    <w:rsid w:val="00555D2C"/>
    <w:rsid w:val="005977CA"/>
    <w:rsid w:val="005A332C"/>
    <w:rsid w:val="005A5E03"/>
    <w:rsid w:val="005B6C43"/>
    <w:rsid w:val="005B70FF"/>
    <w:rsid w:val="00661564"/>
    <w:rsid w:val="00670FFB"/>
    <w:rsid w:val="006930EA"/>
    <w:rsid w:val="006A4C9A"/>
    <w:rsid w:val="006D2EC0"/>
    <w:rsid w:val="0072139D"/>
    <w:rsid w:val="007B6C3A"/>
    <w:rsid w:val="00821ECB"/>
    <w:rsid w:val="00831B15"/>
    <w:rsid w:val="00862E63"/>
    <w:rsid w:val="00932392"/>
    <w:rsid w:val="0094472E"/>
    <w:rsid w:val="0098011F"/>
    <w:rsid w:val="00993E5F"/>
    <w:rsid w:val="00B224E9"/>
    <w:rsid w:val="00B47066"/>
    <w:rsid w:val="00B72AB9"/>
    <w:rsid w:val="00BD6D51"/>
    <w:rsid w:val="00C42EA5"/>
    <w:rsid w:val="00C47FF3"/>
    <w:rsid w:val="00C95E1B"/>
    <w:rsid w:val="00D82A73"/>
    <w:rsid w:val="00DA0CA5"/>
    <w:rsid w:val="00DC4E97"/>
    <w:rsid w:val="00DD240D"/>
    <w:rsid w:val="00DF1668"/>
    <w:rsid w:val="00E149F5"/>
    <w:rsid w:val="00E2324E"/>
    <w:rsid w:val="00E3186A"/>
    <w:rsid w:val="00E550F5"/>
    <w:rsid w:val="00F575D7"/>
    <w:rsid w:val="00F80AA0"/>
    <w:rsid w:val="00FA52D1"/>
    <w:rsid w:val="073505DA"/>
    <w:rsid w:val="075C3CC8"/>
    <w:rsid w:val="09252950"/>
    <w:rsid w:val="0B6F0DAB"/>
    <w:rsid w:val="12A12092"/>
    <w:rsid w:val="1313557F"/>
    <w:rsid w:val="17E230AF"/>
    <w:rsid w:val="188155F5"/>
    <w:rsid w:val="18F643FE"/>
    <w:rsid w:val="1B9731CA"/>
    <w:rsid w:val="1B9E5D77"/>
    <w:rsid w:val="1F3D289C"/>
    <w:rsid w:val="2E7C3FF7"/>
    <w:rsid w:val="2F6A2AE3"/>
    <w:rsid w:val="3039397F"/>
    <w:rsid w:val="310F711D"/>
    <w:rsid w:val="34A52DA9"/>
    <w:rsid w:val="352E2B26"/>
    <w:rsid w:val="359E7D51"/>
    <w:rsid w:val="3BAE1C54"/>
    <w:rsid w:val="3BF5773D"/>
    <w:rsid w:val="3DE91F67"/>
    <w:rsid w:val="3E9C36DA"/>
    <w:rsid w:val="412F07F9"/>
    <w:rsid w:val="43585465"/>
    <w:rsid w:val="43787D7C"/>
    <w:rsid w:val="46B1165A"/>
    <w:rsid w:val="475C1ECF"/>
    <w:rsid w:val="48B901D3"/>
    <w:rsid w:val="49BF2690"/>
    <w:rsid w:val="4AC70FF9"/>
    <w:rsid w:val="4DED4AA6"/>
    <w:rsid w:val="4EC45B35"/>
    <w:rsid w:val="4F084CD3"/>
    <w:rsid w:val="55022CF1"/>
    <w:rsid w:val="561A253F"/>
    <w:rsid w:val="58B64E1D"/>
    <w:rsid w:val="5977533C"/>
    <w:rsid w:val="59F52C55"/>
    <w:rsid w:val="5A8E2047"/>
    <w:rsid w:val="5CC504A8"/>
    <w:rsid w:val="5E9721E1"/>
    <w:rsid w:val="5EE202C6"/>
    <w:rsid w:val="622D4D69"/>
    <w:rsid w:val="63A84375"/>
    <w:rsid w:val="66424733"/>
    <w:rsid w:val="67F350BE"/>
    <w:rsid w:val="6A3F2610"/>
    <w:rsid w:val="6C843389"/>
    <w:rsid w:val="6DF05773"/>
    <w:rsid w:val="6E8709F2"/>
    <w:rsid w:val="6F5C6A48"/>
    <w:rsid w:val="70237839"/>
    <w:rsid w:val="727C7ECF"/>
    <w:rsid w:val="72E6569D"/>
    <w:rsid w:val="7557303E"/>
    <w:rsid w:val="77743747"/>
    <w:rsid w:val="786A04C9"/>
    <w:rsid w:val="788D1373"/>
    <w:rsid w:val="7B220A3E"/>
    <w:rsid w:val="7CE84875"/>
    <w:rsid w:val="7E700829"/>
    <w:rsid w:val="7FA40DD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2333</Words>
  <Characters>13300</Characters>
  <Lines>110</Lines>
  <Paragraphs>31</Paragraphs>
  <TotalTime>1</TotalTime>
  <ScaleCrop>false</ScaleCrop>
  <LinksUpToDate>false</LinksUpToDate>
  <CharactersWithSpaces>15602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一瞬花开</cp:lastModifiedBy>
  <cp:lastPrinted>2020-11-04T07:50:00Z</cp:lastPrinted>
  <dcterms:modified xsi:type="dcterms:W3CDTF">2020-11-05T06:42:42Z</dcterms:modified>
  <dc:title>附件2</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