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w:t>
      </w: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2019年度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沙坡头区畜牧水产技术推广服务中心决算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b/>
          <w:kern w:val="0"/>
          <w:sz w:val="44"/>
          <w:szCs w:val="44"/>
        </w:rPr>
      </w:pPr>
    </w:p>
    <w:p>
      <w:pPr>
        <w:spacing w:line="580" w:lineRule="exact"/>
        <w:jc w:val="center"/>
        <w:outlineLvl w:val="1"/>
        <w:rPr>
          <w:rFonts w:ascii="黑体" w:hAnsi="黑体" w:eastAsia="黑体"/>
          <w:b/>
          <w:kern w:val="0"/>
          <w:sz w:val="44"/>
          <w:szCs w:val="44"/>
        </w:rPr>
      </w:pPr>
      <w:r>
        <w:rPr>
          <w:rFonts w:hint="eastAsia" w:ascii="黑体" w:hAnsi="黑体" w:eastAsia="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eastAsia="仿宋_GB2312"/>
          <w:kern w:val="0"/>
          <w:sz w:val="32"/>
          <w:szCs w:val="32"/>
        </w:rPr>
      </w:pPr>
      <w:r>
        <w:rPr>
          <w:rFonts w:eastAsia="仿宋_GB2312"/>
          <w:kern w:val="0"/>
          <w:sz w:val="32"/>
          <w:szCs w:val="32"/>
        </w:rPr>
        <w:t>一、</w:t>
      </w:r>
      <w:r>
        <w:rPr>
          <w:rFonts w:hint="eastAsia" w:eastAsia="仿宋_GB2312"/>
          <w:kern w:val="0"/>
          <w:sz w:val="32"/>
          <w:szCs w:val="32"/>
        </w:rPr>
        <w:t>部门职责</w:t>
      </w:r>
    </w:p>
    <w:p>
      <w:pPr>
        <w:widowControl/>
        <w:adjustRightInd w:val="0"/>
        <w:snapToGrid w:val="0"/>
        <w:ind w:firstLine="640" w:firstLineChars="200"/>
        <w:rPr>
          <w:rFonts w:eastAsia="仿宋_GB2312"/>
          <w:kern w:val="0"/>
          <w:sz w:val="32"/>
          <w:szCs w:val="32"/>
        </w:rPr>
      </w:pPr>
      <w:r>
        <w:rPr>
          <w:rFonts w:eastAsia="仿宋_GB2312"/>
          <w:kern w:val="0"/>
          <w:sz w:val="32"/>
          <w:szCs w:val="32"/>
        </w:rPr>
        <w:t>二、</w:t>
      </w:r>
      <w:r>
        <w:rPr>
          <w:rFonts w:hint="eastAsia" w:eastAsia="仿宋_GB2312"/>
          <w:kern w:val="0"/>
          <w:sz w:val="32"/>
          <w:szCs w:val="32"/>
        </w:rPr>
        <w:t>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2019年度部门决算表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2019年度部门决算情况说明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widowControl/>
        <w:jc w:val="left"/>
        <w:outlineLvl w:val="1"/>
        <w:rPr>
          <w:rFonts w:ascii="仿宋_GB2312" w:hAnsi="宋体" w:eastAsia="仿宋_GB2312"/>
          <w:b/>
          <w:kern w:val="0"/>
          <w:sz w:val="36"/>
          <w:szCs w:val="36"/>
        </w:rPr>
      </w:pPr>
    </w:p>
    <w:p>
      <w:pPr>
        <w:spacing w:beforeLines="50" w:line="580" w:lineRule="exact"/>
        <w:ind w:firstLine="176" w:firstLineChars="49"/>
        <w:jc w:val="center"/>
        <w:outlineLvl w:val="1"/>
        <w:rPr>
          <w:rFonts w:ascii="黑体" w:hAnsi="黑体" w:eastAsia="黑体"/>
          <w:kern w:val="0"/>
          <w:sz w:val="36"/>
          <w:szCs w:val="36"/>
        </w:rPr>
      </w:pPr>
      <w:r>
        <w:rPr>
          <w:rFonts w:hint="eastAsia" w:ascii="黑体" w:hAnsi="黑体" w:eastAsia="黑体"/>
          <w:kern w:val="0"/>
          <w:sz w:val="36"/>
          <w:szCs w:val="36"/>
        </w:rPr>
        <w:t>第一部分  单位概况</w:t>
      </w:r>
    </w:p>
    <w:p>
      <w:pPr>
        <w:widowControl/>
        <w:spacing w:line="560" w:lineRule="exact"/>
        <w:jc w:val="left"/>
        <w:rPr>
          <w:rFonts w:ascii="黑体" w:hAnsi="黑体" w:eastAsia="黑体" w:cs="宋体"/>
          <w:b/>
          <w:bCs/>
          <w:kern w:val="0"/>
          <w:sz w:val="32"/>
          <w:szCs w:val="32"/>
        </w:rPr>
      </w:pPr>
    </w:p>
    <w:p>
      <w:pPr>
        <w:widowControl/>
        <w:spacing w:line="560" w:lineRule="exact"/>
        <w:ind w:firstLine="480"/>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kern w:val="0"/>
          <w:sz w:val="32"/>
          <w:szCs w:val="32"/>
        </w:rPr>
        <w:t>一、部门职责</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w:t>
      </w:r>
      <w:r>
        <w:rPr>
          <w:rFonts w:ascii="仿宋_GB2312" w:eastAsia="仿宋_GB2312" w:cs="仿宋_GB2312"/>
          <w:sz w:val="28"/>
          <w:szCs w:val="28"/>
        </w:rPr>
        <w:t>1</w:t>
      </w:r>
      <w:r>
        <w:rPr>
          <w:rFonts w:hint="eastAsia" w:ascii="仿宋_GB2312" w:eastAsia="仿宋_GB2312" w:cs="仿宋_GB2312"/>
          <w:sz w:val="28"/>
          <w:szCs w:val="28"/>
        </w:rPr>
        <w:t>）全面贯彻执行《中华人民共和国畜牧法》、《中华人民共和国渔业法》《饲料和饲料添加剂管理条例》等畜牧水产业法律、法规；</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w:t>
      </w:r>
      <w:r>
        <w:rPr>
          <w:rFonts w:ascii="仿宋_GB2312" w:eastAsia="仿宋_GB2312" w:cs="仿宋_GB2312"/>
          <w:sz w:val="28"/>
          <w:szCs w:val="28"/>
        </w:rPr>
        <w:t>2</w:t>
      </w:r>
      <w:r>
        <w:rPr>
          <w:rFonts w:hint="eastAsia" w:ascii="仿宋_GB2312" w:eastAsia="仿宋_GB2312" w:cs="仿宋_GB2312"/>
          <w:sz w:val="28"/>
          <w:szCs w:val="28"/>
        </w:rPr>
        <w:t>）依法监督、管理种畜禽、渔业、饲料及饲料添加剂生产、经营活动；</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w:t>
      </w:r>
      <w:r>
        <w:rPr>
          <w:rFonts w:ascii="仿宋_GB2312" w:eastAsia="仿宋_GB2312" w:cs="仿宋_GB2312"/>
          <w:sz w:val="28"/>
          <w:szCs w:val="28"/>
        </w:rPr>
        <w:t>3</w:t>
      </w:r>
      <w:r>
        <w:rPr>
          <w:rFonts w:hint="eastAsia" w:ascii="仿宋_GB2312" w:eastAsia="仿宋_GB2312" w:cs="仿宋_GB2312"/>
          <w:sz w:val="28"/>
          <w:szCs w:val="28"/>
        </w:rPr>
        <w:t>）制定畜牧生产技术推广发展规划及计划；狠抓畜禽水产良种繁育体系建设；</w:t>
      </w:r>
    </w:p>
    <w:p>
      <w:pPr>
        <w:spacing w:line="580" w:lineRule="exact"/>
        <w:ind w:firstLine="686" w:firstLineChars="245"/>
        <w:outlineLvl w:val="1"/>
        <w:rPr>
          <w:rFonts w:eastAsia="仿宋_GB2312"/>
          <w:b/>
          <w:kern w:val="0"/>
          <w:sz w:val="28"/>
          <w:szCs w:val="28"/>
        </w:rPr>
      </w:pPr>
      <w:r>
        <w:rPr>
          <w:rFonts w:hint="eastAsia" w:ascii="仿宋_GB2312" w:eastAsia="仿宋_GB2312" w:cs="仿宋_GB2312"/>
          <w:sz w:val="28"/>
          <w:szCs w:val="28"/>
        </w:rPr>
        <w:t>（</w:t>
      </w:r>
      <w:r>
        <w:rPr>
          <w:rFonts w:ascii="仿宋_GB2312" w:eastAsia="仿宋_GB2312" w:cs="仿宋_GB2312"/>
          <w:sz w:val="28"/>
          <w:szCs w:val="28"/>
        </w:rPr>
        <w:t>4</w:t>
      </w:r>
      <w:r>
        <w:rPr>
          <w:rFonts w:hint="eastAsia" w:ascii="仿宋_GB2312" w:eastAsia="仿宋_GB2312" w:cs="仿宋_GB2312"/>
          <w:sz w:val="28"/>
          <w:szCs w:val="28"/>
        </w:rPr>
        <w:t>）开展畜牧水产业新品种、新技术的引进和推广；负责养殖园区规划设计及技术指导服务工作；开展畜牧水产业技术培训工作，组织技术力量解决畜牧水产业生产中的技术难题。</w:t>
      </w:r>
    </w:p>
    <w:p>
      <w:pPr>
        <w:widowControl/>
        <w:spacing w:line="560" w:lineRule="exact"/>
        <w:ind w:firstLine="48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二、机构设置</w:t>
      </w:r>
    </w:p>
    <w:p>
      <w:pPr>
        <w:spacing w:line="580" w:lineRule="exact"/>
        <w:ind w:firstLine="700" w:firstLineChars="250"/>
        <w:outlineLvl w:val="1"/>
        <w:rPr>
          <w:rFonts w:eastAsia="仿宋_GB2312"/>
          <w:kern w:val="0"/>
          <w:sz w:val="28"/>
          <w:szCs w:val="28"/>
        </w:rPr>
      </w:pPr>
      <w:r>
        <w:rPr>
          <w:rFonts w:hint="eastAsia" w:ascii="仿宋_GB2312" w:eastAsia="仿宋_GB2312" w:cs="仿宋_GB2312"/>
          <w:sz w:val="28"/>
          <w:szCs w:val="28"/>
        </w:rPr>
        <w:t>本单位属沙坡头区农业农村局主管的独立核算财政补助事业单位，属于二级预算单位。本单位编制人数</w:t>
      </w:r>
      <w:r>
        <w:rPr>
          <w:rFonts w:ascii="仿宋_GB2312" w:eastAsia="仿宋_GB2312" w:cs="仿宋_GB2312"/>
          <w:sz w:val="28"/>
          <w:szCs w:val="28"/>
        </w:rPr>
        <w:t>19</w:t>
      </w:r>
      <w:r>
        <w:rPr>
          <w:rFonts w:hint="eastAsia" w:ascii="仿宋_GB2312" w:eastAsia="仿宋_GB2312" w:cs="仿宋_GB2312"/>
          <w:sz w:val="28"/>
          <w:szCs w:val="28"/>
        </w:rPr>
        <w:t>人，在职人员年末人数为</w:t>
      </w:r>
      <w:r>
        <w:rPr>
          <w:rFonts w:ascii="仿宋_GB2312" w:eastAsia="仿宋_GB2312" w:cs="仿宋_GB2312"/>
          <w:sz w:val="28"/>
          <w:szCs w:val="28"/>
        </w:rPr>
        <w:t>18</w:t>
      </w:r>
      <w:r>
        <w:rPr>
          <w:rFonts w:hint="eastAsia" w:ascii="仿宋_GB2312" w:eastAsia="仿宋_GB2312" w:cs="仿宋_GB2312"/>
          <w:sz w:val="28"/>
          <w:szCs w:val="28"/>
        </w:rPr>
        <w:t>人。</w:t>
      </w:r>
    </w:p>
    <w:p>
      <w:pPr>
        <w:widowControl/>
        <w:adjustRightInd w:val="0"/>
        <w:snapToGrid w:val="0"/>
        <w:ind w:firstLine="480" w:firstLineChars="200"/>
        <w:rPr>
          <w:rFonts w:ascii="仿宋_GB2312" w:eastAsia="仿宋_GB2312" w:cs="仿宋_GB2312"/>
          <w:sz w:val="24"/>
        </w:rPr>
      </w:pPr>
    </w:p>
    <w:p>
      <w:pPr>
        <w:widowControl/>
        <w:spacing w:line="560" w:lineRule="exact"/>
        <w:jc w:val="left"/>
        <w:rPr>
          <w:rFonts w:ascii="仿宋_GB2312" w:hAnsi="宋体" w:eastAsia="仿宋_GB2312" w:cs="宋体"/>
          <w:kern w:val="0"/>
          <w:sz w:val="32"/>
          <w:szCs w:val="32"/>
        </w:rPr>
      </w:pPr>
    </w:p>
    <w:p>
      <w:pPr>
        <w:spacing w:line="580" w:lineRule="exact"/>
      </w:pPr>
    </w:p>
    <w:p>
      <w:pPr>
        <w:spacing w:line="580" w:lineRule="exact"/>
      </w:pPr>
    </w:p>
    <w:p>
      <w:pPr>
        <w:widowControl/>
        <w:rPr>
          <w:rFonts w:ascii="宋体" w:hAnsi="宋体" w:cs="Arial"/>
          <w:b/>
          <w:bCs/>
          <w:color w:val="000000"/>
          <w:kern w:val="0"/>
          <w:sz w:val="44"/>
          <w:szCs w:val="44"/>
        </w:rPr>
        <w:sectPr>
          <w:pgSz w:w="11906" w:h="16838"/>
          <w:pgMar w:top="1440" w:right="1800" w:bottom="1440" w:left="1800" w:header="851" w:footer="992" w:gutter="0"/>
          <w:cols w:space="720" w:num="1"/>
          <w:docGrid w:type="lines" w:linePitch="312" w:charSpace="0"/>
        </w:sectPr>
      </w:pPr>
      <w:r>
        <w:rPr>
          <w:rFonts w:hint="eastAsia"/>
        </w:rPr>
        <w:t>、</w:t>
      </w:r>
    </w:p>
    <w:tbl>
      <w:tblPr>
        <w:tblStyle w:val="5"/>
        <w:tblW w:w="14740" w:type="dxa"/>
        <w:jc w:val="center"/>
        <w:tblLayout w:type="fixed"/>
        <w:tblCellMar>
          <w:top w:w="0" w:type="dxa"/>
          <w:left w:w="108" w:type="dxa"/>
          <w:bottom w:w="0" w:type="dxa"/>
          <w:right w:w="108" w:type="dxa"/>
        </w:tblCellMar>
      </w:tblPr>
      <w:tblGrid>
        <w:gridCol w:w="5341"/>
        <w:gridCol w:w="873"/>
        <w:gridCol w:w="1254"/>
        <w:gridCol w:w="4059"/>
        <w:gridCol w:w="701"/>
        <w:gridCol w:w="2512"/>
      </w:tblGrid>
      <w:tr>
        <w:tblPrEx>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vAlign w:val="bottom"/>
          </w:tcPr>
          <w:p>
            <w:pPr>
              <w:spacing w:line="580" w:lineRule="exact"/>
              <w:jc w:val="center"/>
              <w:rPr>
                <w:rFonts w:ascii="黑体" w:hAnsi="黑体" w:eastAsia="黑体"/>
                <w:b/>
                <w:bCs/>
                <w:color w:val="000000"/>
                <w:kern w:val="0"/>
                <w:sz w:val="44"/>
                <w:szCs w:val="44"/>
              </w:rPr>
            </w:pPr>
            <w:r>
              <w:rPr>
                <w:rFonts w:hint="eastAsia" w:ascii="黑体" w:hAnsi="黑体" w:eastAsia="黑体"/>
                <w:kern w:val="0"/>
                <w:sz w:val="36"/>
                <w:szCs w:val="36"/>
              </w:rPr>
              <w:t>第二部分  2019年度部门决算表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534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0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341" w:type="dxa"/>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公开部门：沙坡头区畜牧水产技术提供服务中心</w:t>
            </w:r>
          </w:p>
        </w:tc>
        <w:tc>
          <w:tcPr>
            <w:tcW w:w="87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0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468" w:type="dxa"/>
            <w:gridSpan w:val="3"/>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收入</w:t>
            </w:r>
          </w:p>
        </w:tc>
        <w:tc>
          <w:tcPr>
            <w:tcW w:w="7272" w:type="dxa"/>
            <w:gridSpan w:val="3"/>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项目</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行次</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决算数</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栏次</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3527987.54</w:t>
            </w: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三、上级补助收入</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w:t>
            </w:r>
          </w:p>
        </w:tc>
        <w:tc>
          <w:tcPr>
            <w:tcW w:w="1254" w:type="dxa"/>
            <w:tcBorders>
              <w:top w:val="nil"/>
              <w:left w:val="nil"/>
              <w:bottom w:val="single" w:color="000000" w:sz="4" w:space="0"/>
              <w:right w:val="single" w:color="000000" w:sz="4" w:space="0"/>
            </w:tcBorders>
          </w:tcPr>
          <w:p>
            <w:pPr>
              <w:jc w:val="left"/>
              <w:rPr>
                <w:rFonts w:ascii="宋体" w:hAnsi="宋体" w:cs="Arial"/>
                <w:color w:val="000000"/>
                <w:kern w:val="0"/>
                <w:sz w:val="18"/>
                <w:szCs w:val="18"/>
              </w:rPr>
            </w:pPr>
            <w:r>
              <w:rPr>
                <w:rFonts w:hint="eastAsia" w:ascii="宋体" w:hAnsi="宋体" w:cs="Arial"/>
                <w:color w:val="000000"/>
                <w:kern w:val="0"/>
                <w:sz w:val="18"/>
                <w:szCs w:val="18"/>
              </w:rPr>
              <w:t>0.00</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四、事业收入</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w:t>
            </w:r>
          </w:p>
        </w:tc>
        <w:tc>
          <w:tcPr>
            <w:tcW w:w="1254" w:type="dxa"/>
            <w:tcBorders>
              <w:top w:val="nil"/>
              <w:left w:val="nil"/>
              <w:bottom w:val="single" w:color="000000" w:sz="4" w:space="0"/>
              <w:right w:val="single" w:color="000000" w:sz="4" w:space="0"/>
            </w:tcBorders>
          </w:tcPr>
          <w:p>
            <w:pPr>
              <w:jc w:val="left"/>
              <w:rPr>
                <w:rFonts w:ascii="宋体" w:hAnsi="宋体" w:cs="Arial"/>
                <w:color w:val="000000"/>
                <w:kern w:val="0"/>
                <w:sz w:val="18"/>
                <w:szCs w:val="18"/>
              </w:rPr>
            </w:pPr>
            <w:r>
              <w:rPr>
                <w:rFonts w:hint="eastAsia" w:ascii="宋体" w:hAnsi="宋体" w:cs="Arial"/>
                <w:color w:val="000000"/>
                <w:kern w:val="0"/>
                <w:sz w:val="18"/>
                <w:szCs w:val="18"/>
              </w:rPr>
              <w:t>0.00</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五、经营收入</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w:t>
            </w:r>
          </w:p>
        </w:tc>
        <w:tc>
          <w:tcPr>
            <w:tcW w:w="1254" w:type="dxa"/>
            <w:tcBorders>
              <w:top w:val="nil"/>
              <w:left w:val="nil"/>
              <w:bottom w:val="single" w:color="000000" w:sz="4" w:space="0"/>
              <w:right w:val="single" w:color="000000" w:sz="4" w:space="0"/>
            </w:tcBorders>
          </w:tcPr>
          <w:p>
            <w:pPr>
              <w:jc w:val="left"/>
              <w:rPr>
                <w:rFonts w:ascii="宋体" w:hAnsi="宋体" w:cs="Arial"/>
                <w:color w:val="000000"/>
                <w:kern w:val="0"/>
                <w:sz w:val="18"/>
                <w:szCs w:val="18"/>
              </w:rPr>
            </w:pPr>
            <w:r>
              <w:rPr>
                <w:rFonts w:hint="eastAsia" w:ascii="宋体" w:hAnsi="宋体" w:cs="Arial"/>
                <w:color w:val="000000"/>
                <w:kern w:val="0"/>
                <w:sz w:val="18"/>
                <w:szCs w:val="18"/>
              </w:rPr>
              <w:t>0.00</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w:t>
            </w:r>
          </w:p>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六、附属单位上缴收入</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6</w:t>
            </w:r>
          </w:p>
        </w:tc>
        <w:tc>
          <w:tcPr>
            <w:tcW w:w="1254" w:type="dxa"/>
            <w:tcBorders>
              <w:top w:val="nil"/>
              <w:left w:val="nil"/>
              <w:bottom w:val="single" w:color="000000" w:sz="4" w:space="0"/>
              <w:right w:val="single" w:color="000000" w:sz="4" w:space="0"/>
            </w:tcBorders>
          </w:tcPr>
          <w:p>
            <w:pPr>
              <w:jc w:val="left"/>
              <w:rPr>
                <w:rFonts w:ascii="宋体" w:hAnsi="宋体" w:cs="Arial"/>
                <w:color w:val="000000"/>
                <w:kern w:val="0"/>
                <w:sz w:val="18"/>
                <w:szCs w:val="18"/>
              </w:rPr>
            </w:pPr>
            <w:r>
              <w:rPr>
                <w:rFonts w:hint="eastAsia" w:ascii="宋体" w:hAnsi="宋体" w:cs="Arial"/>
                <w:color w:val="000000"/>
                <w:kern w:val="0"/>
                <w:sz w:val="18"/>
                <w:szCs w:val="18"/>
              </w:rPr>
              <w:t>0.00</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七、其他收入</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7</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36369698.14</w:t>
            </w: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8</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396,897.00</w:t>
            </w:r>
          </w:p>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9</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181,817.64</w:t>
            </w:r>
          </w:p>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10</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11</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12</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36,608,052.26</w:t>
            </w:r>
          </w:p>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13</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14</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15</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16</w:t>
            </w:r>
          </w:p>
        </w:tc>
        <w:tc>
          <w:tcPr>
            <w:tcW w:w="1254"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17</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18</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19</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250801</w:t>
            </w:r>
            <w:r>
              <w:rPr>
                <w:rFonts w:hint="eastAsia" w:ascii="宋体" w:hAnsi="宋体" w:cs="Arial"/>
                <w:color w:val="000000"/>
                <w:kern w:val="0"/>
                <w:sz w:val="18"/>
                <w:szCs w:val="18"/>
              </w:rPr>
              <w:t>.00　</w:t>
            </w:r>
          </w:p>
        </w:tc>
      </w:tr>
      <w:tr>
        <w:tblPrEx>
          <w:tblCellMar>
            <w:top w:w="0" w:type="dxa"/>
            <w:left w:w="108" w:type="dxa"/>
            <w:bottom w:w="0" w:type="dxa"/>
            <w:right w:w="108" w:type="dxa"/>
          </w:tblCellMar>
        </w:tblPrEx>
        <w:trPr>
          <w:trHeight w:val="266" w:hRule="exact"/>
          <w:jc w:val="center"/>
        </w:trPr>
        <w:tc>
          <w:tcPr>
            <w:tcW w:w="5341"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w:t>
            </w:r>
          </w:p>
        </w:tc>
        <w:tc>
          <w:tcPr>
            <w:tcW w:w="1254"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w:t>
            </w:r>
          </w:p>
        </w:tc>
        <w:tc>
          <w:tcPr>
            <w:tcW w:w="1254"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18"/>
                <w:szCs w:val="18"/>
              </w:rPr>
            </w:pP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23</w:t>
            </w:r>
          </w:p>
        </w:tc>
        <w:tc>
          <w:tcPr>
            <w:tcW w:w="1254" w:type="dxa"/>
            <w:tcBorders>
              <w:top w:val="nil"/>
              <w:left w:val="nil"/>
              <w:bottom w:val="single" w:color="000000" w:sz="4" w:space="0"/>
              <w:right w:val="nil"/>
            </w:tcBorders>
            <w:vAlign w:val="center"/>
          </w:tcPr>
          <w:p>
            <w:pPr>
              <w:widowControl/>
              <w:jc w:val="lef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二十三、债务还本支出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18"/>
                <w:szCs w:val="18"/>
              </w:rPr>
            </w:pP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24</w:t>
            </w:r>
          </w:p>
        </w:tc>
        <w:tc>
          <w:tcPr>
            <w:tcW w:w="1254" w:type="dxa"/>
            <w:tcBorders>
              <w:top w:val="nil"/>
              <w:left w:val="nil"/>
              <w:bottom w:val="single" w:color="000000" w:sz="4" w:space="0"/>
              <w:right w:val="nil"/>
            </w:tcBorders>
            <w:vAlign w:val="center"/>
          </w:tcPr>
          <w:p>
            <w:pPr>
              <w:widowControl/>
              <w:jc w:val="lef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25</w:t>
            </w:r>
          </w:p>
        </w:tc>
        <w:tc>
          <w:tcPr>
            <w:tcW w:w="1254" w:type="dxa"/>
            <w:tcBorders>
              <w:top w:val="nil"/>
              <w:left w:val="nil"/>
              <w:bottom w:val="single" w:color="000000" w:sz="4" w:space="0"/>
              <w:right w:val="nil"/>
            </w:tcBorders>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39897685.68</w:t>
            </w: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r>
              <w:rPr>
                <w:rFonts w:ascii="宋体" w:hAnsi="宋体" w:cs="Arial"/>
                <w:b/>
                <w:bCs/>
                <w:color w:val="000000"/>
                <w:kern w:val="0"/>
                <w:sz w:val="18"/>
                <w:szCs w:val="18"/>
              </w:rPr>
              <w:t>37437567.9</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26</w:t>
            </w:r>
          </w:p>
        </w:tc>
        <w:tc>
          <w:tcPr>
            <w:tcW w:w="1254" w:type="dxa"/>
            <w:tcBorders>
              <w:top w:val="nil"/>
              <w:left w:val="nil"/>
              <w:bottom w:val="single" w:color="000000" w:sz="4" w:space="0"/>
              <w:right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0.00　</w:t>
            </w:r>
          </w:p>
        </w:tc>
        <w:tc>
          <w:tcPr>
            <w:tcW w:w="405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0.00</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27</w:t>
            </w:r>
          </w:p>
        </w:tc>
        <w:tc>
          <w:tcPr>
            <w:tcW w:w="1254" w:type="dxa"/>
            <w:tcBorders>
              <w:top w:val="nil"/>
              <w:left w:val="nil"/>
              <w:bottom w:val="single" w:color="000000" w:sz="4" w:space="0"/>
              <w:right w:val="nil"/>
            </w:tcBorders>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3692300.64</w:t>
            </w:r>
            <w:r>
              <w:rPr>
                <w:rFonts w:hint="eastAsia" w:ascii="宋体" w:hAnsi="宋体" w:cs="Arial"/>
                <w:color w:val="000000"/>
                <w:kern w:val="0"/>
                <w:sz w:val="18"/>
                <w:szCs w:val="18"/>
              </w:rPr>
              <w:t>　</w:t>
            </w:r>
          </w:p>
        </w:tc>
        <w:tc>
          <w:tcPr>
            <w:tcW w:w="405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r>
              <w:rPr>
                <w:rFonts w:ascii="宋体" w:hAnsi="宋体" w:cs="Arial"/>
                <w:color w:val="000000"/>
                <w:kern w:val="0"/>
                <w:sz w:val="18"/>
                <w:szCs w:val="18"/>
              </w:rPr>
              <w:t>6152418.42</w:t>
            </w:r>
          </w:p>
        </w:tc>
      </w:tr>
      <w:tr>
        <w:tblPrEx>
          <w:tblCellMar>
            <w:top w:w="0" w:type="dxa"/>
            <w:left w:w="108" w:type="dxa"/>
            <w:bottom w:w="0" w:type="dxa"/>
            <w:right w:w="108" w:type="dxa"/>
          </w:tblCellMar>
        </w:tblPrEx>
        <w:trPr>
          <w:trHeight w:val="266" w:hRule="exact"/>
          <w:jc w:val="center"/>
        </w:trPr>
        <w:tc>
          <w:tcPr>
            <w:tcW w:w="5341" w:type="dxa"/>
            <w:tcBorders>
              <w:top w:val="nil"/>
              <w:left w:val="single" w:color="000000" w:sz="8" w:space="0"/>
              <w:bottom w:val="single" w:color="000000" w:sz="8" w:space="0"/>
              <w:right w:val="single" w:color="000000" w:sz="4" w:space="0"/>
            </w:tcBorders>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87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28</w:t>
            </w:r>
          </w:p>
        </w:tc>
        <w:tc>
          <w:tcPr>
            <w:tcW w:w="1254" w:type="dxa"/>
            <w:tcBorders>
              <w:top w:val="nil"/>
              <w:left w:val="nil"/>
              <w:bottom w:val="single" w:color="000000" w:sz="8" w:space="0"/>
              <w:right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43589986.32　1114432</w:t>
            </w:r>
            <w:r>
              <w:rPr>
                <w:rFonts w:ascii="宋体" w:hAnsi="宋体" w:cs="Arial"/>
                <w:color w:val="000000"/>
                <w:kern w:val="0"/>
                <w:sz w:val="18"/>
                <w:szCs w:val="18"/>
              </w:rPr>
              <w:t>43589986.32</w:t>
            </w:r>
          </w:p>
          <w:p>
            <w:pPr>
              <w:jc w:val="left"/>
              <w:rPr>
                <w:rFonts w:ascii="宋体" w:hAnsi="宋体" w:cs="Arial"/>
                <w:color w:val="000000"/>
                <w:sz w:val="22"/>
                <w:szCs w:val="22"/>
              </w:rPr>
            </w:pPr>
            <w:r>
              <w:rPr>
                <w:rFonts w:hint="eastAsia" w:cs="Arial"/>
                <w:color w:val="000000"/>
                <w:sz w:val="22"/>
                <w:szCs w:val="22"/>
              </w:rPr>
              <w:t>43,589,986.32</w:t>
            </w:r>
          </w:p>
          <w:p>
            <w:pPr>
              <w:widowControl/>
              <w:jc w:val="left"/>
              <w:rPr>
                <w:rFonts w:ascii="宋体" w:hAnsi="宋体" w:cs="Arial"/>
                <w:color w:val="000000"/>
                <w:kern w:val="0"/>
                <w:sz w:val="18"/>
                <w:szCs w:val="18"/>
              </w:rPr>
            </w:pPr>
          </w:p>
        </w:tc>
        <w:tc>
          <w:tcPr>
            <w:tcW w:w="405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bCs/>
                <w:color w:val="000000"/>
                <w:kern w:val="0"/>
                <w:sz w:val="18"/>
                <w:szCs w:val="18"/>
              </w:rPr>
            </w:pPr>
            <w:r>
              <w:rPr>
                <w:rFonts w:hint="eastAsia" w:ascii="宋体" w:hAnsi="宋体" w:cs="Arial"/>
                <w:b/>
                <w:bCs/>
                <w:color w:val="000000"/>
                <w:kern w:val="0"/>
                <w:sz w:val="18"/>
                <w:szCs w:val="18"/>
              </w:rPr>
              <w:t>　</w:t>
            </w:r>
            <w:r>
              <w:rPr>
                <w:rFonts w:hint="eastAsia" w:ascii="宋体" w:hAnsi="宋体" w:cs="Arial"/>
                <w:bCs/>
                <w:color w:val="000000"/>
                <w:kern w:val="0"/>
                <w:sz w:val="18"/>
                <w:szCs w:val="18"/>
              </w:rPr>
              <w:t>43589986.32</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tbl>
      <w:tblPr>
        <w:tblStyle w:val="5"/>
        <w:tblpPr w:leftFromText="180" w:rightFromText="180" w:vertAnchor="text" w:horzAnchor="page" w:tblpX="1502" w:tblpY="566"/>
        <w:tblOverlap w:val="never"/>
        <w:tblW w:w="14283" w:type="dxa"/>
        <w:tblInd w:w="0" w:type="dxa"/>
        <w:tblLayout w:type="fixed"/>
        <w:tblCellMar>
          <w:top w:w="0" w:type="dxa"/>
          <w:left w:w="108" w:type="dxa"/>
          <w:bottom w:w="0" w:type="dxa"/>
          <w:right w:w="108" w:type="dxa"/>
        </w:tblCellMar>
      </w:tblPr>
      <w:tblGrid>
        <w:gridCol w:w="392"/>
        <w:gridCol w:w="425"/>
        <w:gridCol w:w="425"/>
        <w:gridCol w:w="3686"/>
        <w:gridCol w:w="1559"/>
        <w:gridCol w:w="1559"/>
        <w:gridCol w:w="1701"/>
        <w:gridCol w:w="1560"/>
        <w:gridCol w:w="1559"/>
        <w:gridCol w:w="1417"/>
      </w:tblGrid>
      <w:tr>
        <w:tblPrEx>
          <w:tblCellMar>
            <w:top w:w="0" w:type="dxa"/>
            <w:left w:w="108" w:type="dxa"/>
            <w:bottom w:w="0" w:type="dxa"/>
            <w:right w:w="108" w:type="dxa"/>
          </w:tblCellMar>
        </w:tblPrEx>
        <w:trPr>
          <w:trHeight w:val="315" w:hRule="atLeast"/>
        </w:trPr>
        <w:tc>
          <w:tcPr>
            <w:tcW w:w="14283" w:type="dxa"/>
            <w:gridSpan w:val="10"/>
            <w:tcBorders>
              <w:tl2br w:val="nil"/>
              <w:tr2bl w:val="nil"/>
            </w:tcBorders>
            <w:vAlign w:val="bottom"/>
          </w:tcPr>
          <w:p>
            <w:pPr>
              <w:widowControl/>
              <w:ind w:right="120"/>
              <w:jc w:val="center"/>
              <w:rPr>
                <w:rFonts w:ascii="宋体" w:hAnsi="宋体" w:cs="Arial"/>
                <w:color w:val="000000"/>
                <w:kern w:val="0"/>
                <w:sz w:val="24"/>
              </w:rPr>
            </w:pPr>
            <w:r>
              <w:rPr>
                <w:rFonts w:hint="eastAsia" w:ascii="宋体" w:hAnsi="宋体" w:cs="Arial"/>
                <w:color w:val="000000"/>
                <w:kern w:val="0"/>
                <w:sz w:val="24"/>
              </w:rPr>
              <w:t>收入决算表</w:t>
            </w:r>
          </w:p>
        </w:tc>
      </w:tr>
      <w:tr>
        <w:tblPrEx>
          <w:tblCellMar>
            <w:top w:w="0" w:type="dxa"/>
            <w:left w:w="108" w:type="dxa"/>
            <w:bottom w:w="0" w:type="dxa"/>
            <w:right w:w="108" w:type="dxa"/>
          </w:tblCellMar>
        </w:tblPrEx>
        <w:trPr>
          <w:trHeight w:val="315" w:hRule="atLeast"/>
        </w:trPr>
        <w:tc>
          <w:tcPr>
            <w:tcW w:w="4928" w:type="dxa"/>
            <w:gridSpan w:val="4"/>
            <w:tcBorders>
              <w:bottom w:val="single" w:color="000000" w:sz="4" w:space="0"/>
              <w:tl2br w:val="nil"/>
              <w:tr2bl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公开部门：沙坡头区畜牧水产技术提供服务中心</w:t>
            </w:r>
          </w:p>
        </w:tc>
        <w:tc>
          <w:tcPr>
            <w:tcW w:w="1559"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559" w:type="dxa"/>
            <w:tcBorders>
              <w:bottom w:val="single" w:color="000000" w:sz="4" w:space="0"/>
              <w:tl2br w:val="nil"/>
              <w:tr2bl w:val="nil"/>
            </w:tcBorders>
            <w:vAlign w:val="bottom"/>
          </w:tcPr>
          <w:p>
            <w:pPr>
              <w:widowControl/>
              <w:jc w:val="center"/>
              <w:rPr>
                <w:rFonts w:ascii="宋体" w:hAnsi="宋体" w:cs="Arial"/>
                <w:color w:val="000000"/>
                <w:kern w:val="0"/>
                <w:sz w:val="24"/>
              </w:rPr>
            </w:pPr>
          </w:p>
        </w:tc>
        <w:tc>
          <w:tcPr>
            <w:tcW w:w="1701"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4536" w:type="dxa"/>
            <w:gridSpan w:val="3"/>
            <w:tcBorders>
              <w:bottom w:val="single" w:color="000000" w:sz="4" w:space="0"/>
              <w:tl2br w:val="nil"/>
              <w:tr2bl w:val="nil"/>
            </w:tcBorders>
            <w:vAlign w:val="bottom"/>
          </w:tcPr>
          <w:p>
            <w:pPr>
              <w:widowControl/>
              <w:ind w:firstLine="3120" w:firstLineChars="1300"/>
              <w:jc w:val="left"/>
              <w:rPr>
                <w:rFonts w:ascii="宋体" w:hAnsi="宋体" w:cs="Arial"/>
                <w:color w:val="000000"/>
                <w:kern w:val="0"/>
                <w:sz w:val="24"/>
              </w:rPr>
            </w:pPr>
            <w:r>
              <w:rPr>
                <w:rFonts w:hint="eastAsia" w:ascii="宋体" w:hAnsi="宋体" w:cs="Arial"/>
                <w:color w:val="000000"/>
                <w:kern w:val="0"/>
                <w:sz w:val="24"/>
              </w:rPr>
              <w:t>公开02表</w:t>
            </w:r>
          </w:p>
          <w:p>
            <w:pPr>
              <w:widowControl/>
              <w:ind w:firstLine="2880" w:firstLineChars="1200"/>
              <w:jc w:val="lef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492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5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0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560" w:type="dxa"/>
            <w:vMerge w:val="restart"/>
            <w:tcBorders>
              <w:top w:val="single" w:color="000000" w:sz="4" w:space="0"/>
              <w:left w:val="single" w:color="000000" w:sz="4" w:space="0"/>
              <w:bottom w:val="single" w:color="000000" w:sz="4" w:space="0"/>
              <w:right w:val="single" w:color="000000" w:sz="4" w:space="0"/>
              <w:tl2br w:val="nil"/>
              <w:tr2bl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金额单位：元</w:t>
            </w:r>
          </w:p>
        </w:tc>
        <w:tc>
          <w:tcPr>
            <w:tcW w:w="155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41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1242"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68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24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68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24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68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39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3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sz w:val="22"/>
                <w:szCs w:val="22"/>
              </w:rPr>
            </w:pPr>
            <w:r>
              <w:rPr>
                <w:rFonts w:hint="eastAsia" w:cs="Arial"/>
                <w:b/>
                <w:bCs/>
                <w:color w:val="000000"/>
                <w:sz w:val="22"/>
                <w:szCs w:val="22"/>
              </w:rPr>
              <w:t>37,437,567.90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sz w:val="22"/>
                <w:szCs w:val="22"/>
              </w:rPr>
            </w:pPr>
            <w:r>
              <w:rPr>
                <w:rFonts w:hint="eastAsia" w:cs="Arial"/>
                <w:b/>
                <w:bCs/>
                <w:color w:val="000000"/>
                <w:sz w:val="22"/>
                <w:szCs w:val="22"/>
              </w:rPr>
              <w:t>3,527,987.54</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sz w:val="22"/>
                <w:szCs w:val="22"/>
              </w:rPr>
            </w:pPr>
            <w:r>
              <w:rPr>
                <w:rFonts w:hint="eastAsia" w:cs="Arial"/>
                <w:b/>
                <w:bCs/>
                <w:color w:val="000000"/>
                <w:sz w:val="22"/>
                <w:szCs w:val="22"/>
              </w:rPr>
              <w:t>33,909,580.36</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208</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社会保障和就业支出</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396,897.00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396,897.00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20805</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行政事业单位离退休</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396,897.00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396,897.00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2080505</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机关事业单位基本养老保险缴费支出</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246,240.00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246,240.00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2080506</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机关事业单位职业年金缴费支出</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114,657.00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114,657.00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2080599</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其他行政事业单位离退休支出</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36,000.00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36,000.00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210</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卫生健康支出</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181,817.64</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181,817.64</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21011</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行政事业单位医疗</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181,817.64</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181,817.64</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2101102</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事业单位医疗</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181,817.64</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181,817.64</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213</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农林水支出</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36,608,052.26</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2,698,471.90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33,909,580.36</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21301</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农业</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36,608,052.26</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2,698,471.90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33,909,580.36</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2130104</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事业运行</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2,698,471.90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2,698,471.90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2130106</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科技转化与推广服务</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146,537.50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146,537.50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2130108</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病虫害控制</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4,000.00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4,000.00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2130110</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执法监管</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24,243.00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24,243.00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2130122</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农业生产支持补贴</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15,140,178.00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15,140,178.00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2130199</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 xml:space="preserve">  其他农业支出</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18,594,621.86</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18,594,621.86</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221</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住房保障支出</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250,801.00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250,801.00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22102</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0"/>
                <w:szCs w:val="20"/>
              </w:rPr>
            </w:pPr>
            <w:r>
              <w:rPr>
                <w:rFonts w:hint="eastAsia" w:cs="Arial"/>
                <w:color w:val="000000"/>
                <w:sz w:val="20"/>
                <w:szCs w:val="20"/>
              </w:rPr>
              <w:t>住房改革支出</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250,801.00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250,801.00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4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2210201</w:t>
            </w:r>
          </w:p>
        </w:tc>
        <w:tc>
          <w:tcPr>
            <w:tcW w:w="368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250,801.00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250,801.00</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510" w:hRule="atLeast"/>
        </w:trPr>
        <w:tc>
          <w:tcPr>
            <w:tcW w:w="14283" w:type="dxa"/>
            <w:gridSpan w:val="10"/>
            <w:tcBorders>
              <w:top w:val="single" w:color="000000" w:sz="4" w:space="0"/>
              <w:tl2br w:val="nil"/>
              <w:tr2bl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注：本表反映部门本年度各项收入情况，数据取自财决03表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260" w:lineRule="atLeast"/>
      </w:pPr>
    </w:p>
    <w:tbl>
      <w:tblPr>
        <w:tblStyle w:val="5"/>
        <w:tblW w:w="15613" w:type="dxa"/>
        <w:tblInd w:w="88" w:type="dxa"/>
        <w:tblLayout w:type="autofit"/>
        <w:tblCellMar>
          <w:top w:w="0" w:type="dxa"/>
          <w:left w:w="108" w:type="dxa"/>
          <w:bottom w:w="0" w:type="dxa"/>
          <w:right w:w="108" w:type="dxa"/>
        </w:tblCellMar>
      </w:tblPr>
      <w:tblGrid>
        <w:gridCol w:w="436"/>
        <w:gridCol w:w="436"/>
        <w:gridCol w:w="436"/>
        <w:gridCol w:w="3815"/>
        <w:gridCol w:w="1701"/>
        <w:gridCol w:w="1560"/>
        <w:gridCol w:w="1842"/>
        <w:gridCol w:w="1701"/>
        <w:gridCol w:w="525"/>
        <w:gridCol w:w="751"/>
        <w:gridCol w:w="2410"/>
      </w:tblGrid>
      <w:tr>
        <w:tblPrEx>
          <w:tblCellMar>
            <w:top w:w="0" w:type="dxa"/>
            <w:left w:w="108" w:type="dxa"/>
            <w:bottom w:w="0" w:type="dxa"/>
            <w:right w:w="108" w:type="dxa"/>
          </w:tblCellMar>
        </w:tblPrEx>
        <w:trPr>
          <w:trHeight w:val="390" w:hRule="atLeast"/>
        </w:trPr>
        <w:tc>
          <w:tcPr>
            <w:tcW w:w="15613" w:type="dxa"/>
            <w:gridSpan w:val="11"/>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81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4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2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161" w:type="dxa"/>
            <w:gridSpan w:val="2"/>
            <w:tcBorders>
              <w:top w:val="nil"/>
              <w:left w:val="nil"/>
              <w:bottom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5123"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公开部门：沙坡头区畜牧水产技术推广服务中心</w:t>
            </w:r>
          </w:p>
        </w:tc>
        <w:tc>
          <w:tcPr>
            <w:tcW w:w="170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4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387" w:type="dxa"/>
            <w:gridSpan w:val="4"/>
            <w:tcBorders>
              <w:top w:val="nil"/>
              <w:left w:val="nil"/>
              <w:bottom w:val="single" w:color="000000" w:sz="4" w:space="0"/>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blPrEx>
          <w:tblCellMar>
            <w:top w:w="0" w:type="dxa"/>
            <w:left w:w="108" w:type="dxa"/>
            <w:bottom w:w="0" w:type="dxa"/>
            <w:right w:w="108" w:type="dxa"/>
          </w:tblCellMar>
        </w:tblPrEx>
        <w:trPr>
          <w:trHeight w:val="321"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3815"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0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6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4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701"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276"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41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381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70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5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8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701"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276"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241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815"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01"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6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42"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701"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76"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41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15"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37,437,567.90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3,527,987.54</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33,909,580.36</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246,240.00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246,240.00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机关事业单位职业年金缴费支出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114,657.00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114,657.00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2080599</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其他行政事业单位离退休支出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36,000.00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36,000.00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农林水支出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36,608,052.26</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33,909,580.36</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21301</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农业</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36,608,052.26</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33,909,580.36</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2130104</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事业运行</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2130106</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科技转化与推广服务</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146,537.50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146,537.50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2130108</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病虫害控制</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2130110</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执法监管</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24,243.00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24,243.00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2130122</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农业生产支持补贴</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15,140,178.00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15,140,178.00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2130199</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其他农业支出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18,594,621.86</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18,594,621.86</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8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5613" w:type="dxa"/>
            <w:gridSpan w:val="11"/>
            <w:tcBorders>
              <w:top w:val="nil"/>
              <w:left w:val="nil"/>
              <w:bottom w:val="nil"/>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
      <w:pPr>
        <w:spacing w:line="580" w:lineRule="exact"/>
      </w:pPr>
    </w:p>
    <w:tbl>
      <w:tblPr>
        <w:tblStyle w:val="5"/>
        <w:tblW w:w="14822" w:type="dxa"/>
        <w:tblInd w:w="88" w:type="dxa"/>
        <w:tblLayout w:type="autofit"/>
        <w:tblCellMar>
          <w:top w:w="0" w:type="dxa"/>
          <w:left w:w="108" w:type="dxa"/>
          <w:bottom w:w="0" w:type="dxa"/>
          <w:right w:w="108" w:type="dxa"/>
        </w:tblCellMar>
      </w:tblPr>
      <w:tblGrid>
        <w:gridCol w:w="3433"/>
        <w:gridCol w:w="467"/>
        <w:gridCol w:w="1689"/>
        <w:gridCol w:w="3888"/>
        <w:gridCol w:w="467"/>
        <w:gridCol w:w="1536"/>
        <w:gridCol w:w="1689"/>
        <w:gridCol w:w="1678"/>
      </w:tblGrid>
      <w:tr>
        <w:tblPrEx>
          <w:tblCellMar>
            <w:top w:w="0" w:type="dxa"/>
            <w:left w:w="108" w:type="dxa"/>
            <w:bottom w:w="0" w:type="dxa"/>
            <w:right w:w="108" w:type="dxa"/>
          </w:tblCellMar>
        </w:tblPrEx>
        <w:trPr>
          <w:trHeight w:val="390" w:hRule="atLeast"/>
        </w:trPr>
        <w:tc>
          <w:tcPr>
            <w:tcW w:w="14822" w:type="dxa"/>
            <w:gridSpan w:val="8"/>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财政拨款收入支出决算表</w:t>
            </w:r>
          </w:p>
        </w:tc>
      </w:tr>
      <w:tr>
        <w:tblPrEx>
          <w:tblCellMar>
            <w:top w:w="0" w:type="dxa"/>
            <w:left w:w="108" w:type="dxa"/>
            <w:bottom w:w="0" w:type="dxa"/>
            <w:right w:w="108" w:type="dxa"/>
          </w:tblCellMar>
        </w:tblPrEx>
        <w:trPr>
          <w:trHeight w:val="255" w:hRule="atLeast"/>
        </w:trPr>
        <w:tc>
          <w:tcPr>
            <w:tcW w:w="343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6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88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6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1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78"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5589" w:type="dxa"/>
            <w:gridSpan w:val="3"/>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公开部门：沙坡头区畜牧水产技术推广服务中心</w:t>
            </w:r>
          </w:p>
        </w:tc>
        <w:tc>
          <w:tcPr>
            <w:tcW w:w="388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6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1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78"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55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收     入</w:t>
            </w:r>
          </w:p>
        </w:tc>
        <w:tc>
          <w:tcPr>
            <w:tcW w:w="9233" w:type="dxa"/>
            <w:gridSpan w:val="5"/>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     出</w:t>
            </w:r>
          </w:p>
        </w:tc>
      </w:tr>
      <w:tr>
        <w:tblPrEx>
          <w:tblCellMar>
            <w:top w:w="0" w:type="dxa"/>
            <w:left w:w="108" w:type="dxa"/>
            <w:bottom w:w="0" w:type="dxa"/>
            <w:right w:w="108" w:type="dxa"/>
          </w:tblCellMar>
        </w:tblPrEx>
        <w:trPr>
          <w:trHeight w:val="321" w:hRule="atLeast"/>
        </w:trPr>
        <w:tc>
          <w:tcPr>
            <w:tcW w:w="3433"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467"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168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3888"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467"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1511"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8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一般公共预算财政拨款</w:t>
            </w:r>
          </w:p>
        </w:tc>
        <w:tc>
          <w:tcPr>
            <w:tcW w:w="1678"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政府性基金预算财政拨款</w:t>
            </w:r>
          </w:p>
        </w:tc>
      </w:tr>
      <w:tr>
        <w:tblPrEx>
          <w:tblCellMar>
            <w:top w:w="0" w:type="dxa"/>
            <w:left w:w="108" w:type="dxa"/>
            <w:bottom w:w="0" w:type="dxa"/>
            <w:right w:w="108" w:type="dxa"/>
          </w:tblCellMar>
        </w:tblPrEx>
        <w:trPr>
          <w:trHeight w:val="390" w:hRule="atLeast"/>
        </w:trPr>
        <w:tc>
          <w:tcPr>
            <w:tcW w:w="3433"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467"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68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388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467"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511"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68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67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3,527,987.54</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二十一、灾害防治及应急管理支出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二十二、其他支出</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b/>
                <w:bCs/>
                <w:color w:val="000000"/>
                <w:kern w:val="0"/>
                <w:sz w:val="22"/>
                <w:szCs w:val="22"/>
              </w:rPr>
            </w:pPr>
          </w:p>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本年收入合计</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3,527,987.54</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本年支出合计</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3,527,987.54</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3,527,987.54</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年初财政拨款结转和结余</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年末财政拨款结转和结余</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56</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43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3,527,987.54</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4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58</w:t>
            </w:r>
          </w:p>
        </w:tc>
        <w:tc>
          <w:tcPr>
            <w:tcW w:w="1511"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3,527,987.54</w:t>
            </w:r>
          </w:p>
        </w:tc>
        <w:tc>
          <w:tcPr>
            <w:tcW w:w="1689"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3,527,987.54</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4822" w:type="dxa"/>
            <w:gridSpan w:val="8"/>
            <w:tcBorders>
              <w:top w:val="nil"/>
              <w:left w:val="nil"/>
              <w:bottom w:val="nil"/>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注：1.</w:t>
            </w:r>
            <w:r>
              <w:rPr>
                <w:rFonts w:hint="eastAsia" w:ascii="宋体" w:hAnsi="宋体" w:cs="Arial"/>
                <w:color w:val="000000"/>
                <w:kern w:val="0"/>
                <w:sz w:val="18"/>
                <w:szCs w:val="18"/>
              </w:rPr>
              <w:t xml:space="preserve"> 本表反映部门本年度一般公共预算财政拨款和政府性基金预算财政拨款的总收支和年末结余结转情况，数据取自财决01-1表</w:t>
            </w:r>
            <w:r>
              <w:rPr>
                <w:rFonts w:hint="eastAsia" w:ascii="宋体" w:hAnsi="宋体" w:cs="Arial"/>
                <w:color w:val="000000"/>
                <w:kern w:val="0"/>
                <w:sz w:val="22"/>
                <w:szCs w:val="22"/>
              </w:rPr>
              <w:t>。</w:t>
            </w:r>
          </w:p>
        </w:tc>
      </w:tr>
      <w:tr>
        <w:tblPrEx>
          <w:tblCellMar>
            <w:top w:w="0" w:type="dxa"/>
            <w:left w:w="108" w:type="dxa"/>
            <w:bottom w:w="0" w:type="dxa"/>
            <w:right w:w="108" w:type="dxa"/>
          </w:tblCellMar>
        </w:tblPrEx>
        <w:trPr>
          <w:trHeight w:val="308" w:hRule="atLeast"/>
        </w:trPr>
        <w:tc>
          <w:tcPr>
            <w:tcW w:w="14822" w:type="dxa"/>
            <w:gridSpan w:val="8"/>
            <w:tcBorders>
              <w:top w:val="nil"/>
              <w:left w:val="nil"/>
              <w:bottom w:val="nil"/>
              <w:right w:val="nil"/>
            </w:tcBorders>
            <w:shd w:val="clear" w:color="auto" w:fill="auto"/>
            <w:noWrap/>
            <w:vAlign w:val="center"/>
          </w:tcPr>
          <w:p>
            <w:pPr>
              <w:widowControl/>
              <w:jc w:val="left"/>
              <w:rPr>
                <w:rFonts w:ascii="宋体" w:hAnsi="宋体" w:cs="Arial"/>
                <w:color w:val="000000"/>
                <w:kern w:val="0"/>
                <w:sz w:val="22"/>
                <w:szCs w:val="22"/>
              </w:rPr>
            </w:pP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5"/>
        <w:tblW w:w="15526" w:type="dxa"/>
        <w:tblInd w:w="88" w:type="dxa"/>
        <w:tblLayout w:type="autofit"/>
        <w:tblCellMar>
          <w:top w:w="0" w:type="dxa"/>
          <w:left w:w="108" w:type="dxa"/>
          <w:bottom w:w="0" w:type="dxa"/>
          <w:right w:w="108" w:type="dxa"/>
        </w:tblCellMar>
      </w:tblPr>
      <w:tblGrid>
        <w:gridCol w:w="439"/>
        <w:gridCol w:w="436"/>
        <w:gridCol w:w="436"/>
        <w:gridCol w:w="1918"/>
        <w:gridCol w:w="659"/>
        <w:gridCol w:w="659"/>
        <w:gridCol w:w="673"/>
        <w:gridCol w:w="1579"/>
        <w:gridCol w:w="1597"/>
        <w:gridCol w:w="659"/>
        <w:gridCol w:w="1579"/>
        <w:gridCol w:w="1597"/>
        <w:gridCol w:w="659"/>
        <w:gridCol w:w="659"/>
        <w:gridCol w:w="1977"/>
      </w:tblGrid>
      <w:tr>
        <w:tblPrEx>
          <w:tblCellMar>
            <w:top w:w="0" w:type="dxa"/>
            <w:left w:w="108" w:type="dxa"/>
            <w:bottom w:w="0" w:type="dxa"/>
            <w:right w:w="108" w:type="dxa"/>
          </w:tblCellMar>
        </w:tblPrEx>
        <w:trPr>
          <w:trHeight w:val="345" w:hRule="atLeast"/>
        </w:trPr>
        <w:tc>
          <w:tcPr>
            <w:tcW w:w="15526" w:type="dxa"/>
            <w:gridSpan w:val="15"/>
            <w:tcBorders>
              <w:top w:val="nil"/>
              <w:left w:val="nil"/>
              <w:bottom w:val="nil"/>
            </w:tcBorders>
            <w:shd w:val="clear" w:color="auto" w:fill="auto"/>
            <w:noWrap/>
            <w:vAlign w:val="bottom"/>
          </w:tcPr>
          <w:tbl>
            <w:tblPr>
              <w:tblStyle w:val="5"/>
              <w:tblW w:w="12844" w:type="dxa"/>
              <w:jc w:val="center"/>
              <w:tblLayout w:type="autofit"/>
              <w:tblCellMar>
                <w:top w:w="0" w:type="dxa"/>
                <w:left w:w="108" w:type="dxa"/>
                <w:bottom w:w="0" w:type="dxa"/>
                <w:right w:w="108" w:type="dxa"/>
              </w:tblCellMar>
            </w:tblPr>
            <w:tblGrid>
              <w:gridCol w:w="806"/>
              <w:gridCol w:w="708"/>
              <w:gridCol w:w="709"/>
              <w:gridCol w:w="4430"/>
              <w:gridCol w:w="1702"/>
              <w:gridCol w:w="2134"/>
              <w:gridCol w:w="2355"/>
            </w:tblGrid>
            <w:tr>
              <w:tblPrEx>
                <w:tblCellMar>
                  <w:top w:w="0" w:type="dxa"/>
                  <w:left w:w="108" w:type="dxa"/>
                  <w:bottom w:w="0" w:type="dxa"/>
                  <w:right w:w="108" w:type="dxa"/>
                </w:tblCellMar>
              </w:tblPrEx>
              <w:trPr>
                <w:trHeight w:val="1215" w:hRule="atLeast"/>
                <w:jc w:val="center"/>
              </w:trPr>
              <w:tc>
                <w:tcPr>
                  <w:tcW w:w="12844" w:type="dxa"/>
                  <w:gridSpan w:val="7"/>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80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3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0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55"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6653" w:type="dxa"/>
                  <w:gridSpan w:val="4"/>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公开部门：沙坡头区畜牧水产技术推广服务中心</w:t>
                  </w:r>
                </w:p>
              </w:tc>
              <w:tc>
                <w:tcPr>
                  <w:tcW w:w="170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34" w:type="dxa"/>
                  <w:tcBorders>
                    <w:top w:val="nil"/>
                    <w:left w:val="nil"/>
                    <w:bottom w:val="nil"/>
                    <w:right w:val="nil"/>
                  </w:tcBorders>
                  <w:vAlign w:val="bottom"/>
                </w:tcPr>
                <w:p>
                  <w:pPr>
                    <w:widowControl/>
                    <w:jc w:val="center"/>
                    <w:rPr>
                      <w:rFonts w:ascii="宋体" w:hAnsi="宋体" w:cs="Arial"/>
                      <w:color w:val="000000"/>
                      <w:kern w:val="0"/>
                      <w:sz w:val="24"/>
                    </w:rPr>
                  </w:pPr>
                </w:p>
              </w:tc>
              <w:tc>
                <w:tcPr>
                  <w:tcW w:w="2355"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6653"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0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5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2223"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443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5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222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5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222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5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80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708"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43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0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3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5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80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3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0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bCs/>
                      <w:color w:val="000000"/>
                      <w:kern w:val="0"/>
                      <w:sz w:val="22"/>
                      <w:szCs w:val="22"/>
                    </w:rPr>
                    <w:t>3,527,987.54</w:t>
                  </w:r>
                  <w:r>
                    <w:rPr>
                      <w:rFonts w:hint="eastAsia" w:ascii="宋体" w:hAnsi="宋体" w:cs="Arial"/>
                      <w:color w:val="000000"/>
                      <w:kern w:val="0"/>
                      <w:sz w:val="22"/>
                      <w:szCs w:val="22"/>
                    </w:rPr>
                    <w:t>　</w:t>
                  </w:r>
                </w:p>
              </w:tc>
              <w:tc>
                <w:tcPr>
                  <w:tcW w:w="2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bCs/>
                      <w:color w:val="000000"/>
                      <w:kern w:val="0"/>
                      <w:sz w:val="22"/>
                      <w:szCs w:val="22"/>
                    </w:rPr>
                    <w:t>3,527,987.54</w:t>
                  </w:r>
                  <w:r>
                    <w:rPr>
                      <w:rFonts w:hint="eastAsia" w:ascii="宋体" w:hAnsi="宋体" w:cs="Arial"/>
                      <w:color w:val="000000"/>
                      <w:kern w:val="0"/>
                      <w:sz w:val="22"/>
                      <w:szCs w:val="22"/>
                    </w:rPr>
                    <w:t>　</w:t>
                  </w:r>
                </w:p>
              </w:tc>
              <w:tc>
                <w:tcPr>
                  <w:tcW w:w="23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443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70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2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23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443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70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2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396,897.00</w:t>
                  </w:r>
                </w:p>
              </w:tc>
              <w:tc>
                <w:tcPr>
                  <w:tcW w:w="2355" w:type="dxa"/>
                  <w:tcBorders>
                    <w:top w:val="nil"/>
                    <w:left w:val="nil"/>
                    <w:bottom w:val="single" w:color="000000" w:sz="4" w:space="0"/>
                    <w:right w:val="single" w:color="000000" w:sz="4" w:space="0"/>
                  </w:tcBorders>
                </w:tcPr>
                <w:p>
                  <w:pPr>
                    <w:ind w:firstLine="1650" w:firstLineChars="750"/>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443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70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246,240.00</w:t>
                  </w:r>
                </w:p>
              </w:tc>
              <w:tc>
                <w:tcPr>
                  <w:tcW w:w="2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246,240.00</w:t>
                  </w:r>
                </w:p>
              </w:tc>
              <w:tc>
                <w:tcPr>
                  <w:tcW w:w="2355" w:type="dxa"/>
                  <w:tcBorders>
                    <w:top w:val="nil"/>
                    <w:left w:val="nil"/>
                    <w:bottom w:val="single" w:color="000000" w:sz="4" w:space="0"/>
                    <w:right w:val="single" w:color="000000" w:sz="4" w:space="0"/>
                  </w:tcBorders>
                </w:tcPr>
                <w:p>
                  <w:pPr>
                    <w:ind w:firstLine="1650" w:firstLineChars="750"/>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443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机关事业单位职业年金缴费支出</w:t>
                  </w:r>
                </w:p>
              </w:tc>
              <w:tc>
                <w:tcPr>
                  <w:tcW w:w="170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114,657.00</w:t>
                  </w:r>
                </w:p>
              </w:tc>
              <w:tc>
                <w:tcPr>
                  <w:tcW w:w="2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114,657.00</w:t>
                  </w:r>
                </w:p>
              </w:tc>
              <w:tc>
                <w:tcPr>
                  <w:tcW w:w="23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2080599</w:t>
                  </w:r>
                </w:p>
              </w:tc>
              <w:tc>
                <w:tcPr>
                  <w:tcW w:w="443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其他行政事业单位离退休支出</w:t>
                  </w:r>
                </w:p>
              </w:tc>
              <w:tc>
                <w:tcPr>
                  <w:tcW w:w="170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36,000.00</w:t>
                  </w:r>
                </w:p>
              </w:tc>
              <w:tc>
                <w:tcPr>
                  <w:tcW w:w="2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36,000.00</w:t>
                  </w:r>
                </w:p>
              </w:tc>
              <w:tc>
                <w:tcPr>
                  <w:tcW w:w="23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4430"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70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2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2355" w:type="dxa"/>
                  <w:tcBorders>
                    <w:top w:val="nil"/>
                    <w:left w:val="nil"/>
                    <w:bottom w:val="single" w:color="000000" w:sz="8" w:space="0"/>
                    <w:right w:val="single" w:color="000000" w:sz="4" w:space="0"/>
                  </w:tcBorders>
                </w:tcPr>
                <w:p>
                  <w:pPr>
                    <w:ind w:firstLine="1650" w:firstLineChars="750"/>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4430"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70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2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2355" w:type="dxa"/>
                  <w:tcBorders>
                    <w:top w:val="nil"/>
                    <w:left w:val="nil"/>
                    <w:bottom w:val="single" w:color="000000" w:sz="8" w:space="0"/>
                    <w:right w:val="single" w:color="000000" w:sz="4" w:space="0"/>
                  </w:tcBorders>
                </w:tcPr>
                <w:p>
                  <w:pPr>
                    <w:ind w:firstLine="1650" w:firstLineChars="750"/>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4430"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70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2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2355"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w:t>
                  </w:r>
                </w:p>
              </w:tc>
              <w:tc>
                <w:tcPr>
                  <w:tcW w:w="4430"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农林水支出</w:t>
                  </w:r>
                </w:p>
              </w:tc>
              <w:tc>
                <w:tcPr>
                  <w:tcW w:w="170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2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2355"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21301</w:t>
                  </w:r>
                </w:p>
              </w:tc>
              <w:tc>
                <w:tcPr>
                  <w:tcW w:w="4430"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农业</w:t>
                  </w:r>
                </w:p>
              </w:tc>
              <w:tc>
                <w:tcPr>
                  <w:tcW w:w="170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2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2355" w:type="dxa"/>
                  <w:tcBorders>
                    <w:top w:val="nil"/>
                    <w:left w:val="nil"/>
                    <w:bottom w:val="single" w:color="000000" w:sz="8" w:space="0"/>
                    <w:right w:val="single" w:color="000000" w:sz="4" w:space="0"/>
                  </w:tcBorders>
                </w:tcPr>
                <w:p>
                  <w:pPr>
                    <w:ind w:firstLine="1650" w:firstLineChars="750"/>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2130104</w:t>
                  </w:r>
                </w:p>
              </w:tc>
              <w:tc>
                <w:tcPr>
                  <w:tcW w:w="4430"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事业运行</w:t>
                  </w:r>
                </w:p>
              </w:tc>
              <w:tc>
                <w:tcPr>
                  <w:tcW w:w="170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2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2,698,471.90</w:t>
                  </w:r>
                </w:p>
              </w:tc>
              <w:tc>
                <w:tcPr>
                  <w:tcW w:w="2355" w:type="dxa"/>
                  <w:tcBorders>
                    <w:top w:val="nil"/>
                    <w:left w:val="nil"/>
                    <w:bottom w:val="single" w:color="000000" w:sz="8" w:space="0"/>
                    <w:right w:val="single" w:color="000000" w:sz="4" w:space="0"/>
                  </w:tcBorders>
                </w:tcPr>
                <w:p>
                  <w:pPr>
                    <w:ind w:firstLine="1650" w:firstLineChars="750"/>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4430"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70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2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2355"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4430"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70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2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2355"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jc w:val="center"/>
              </w:trPr>
              <w:tc>
                <w:tcPr>
                  <w:tcW w:w="222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4430"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702"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2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2355" w:type="dxa"/>
                  <w:tcBorders>
                    <w:top w:val="nil"/>
                    <w:left w:val="nil"/>
                    <w:bottom w:val="single" w:color="000000" w:sz="8" w:space="0"/>
                    <w:right w:val="single" w:color="000000" w:sz="4" w:space="0"/>
                  </w:tcBorders>
                </w:tcPr>
                <w:p>
                  <w:pPr>
                    <w:ind w:firstLine="1650" w:firstLineChars="750"/>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510" w:hRule="atLeast"/>
                <w:jc w:val="center"/>
              </w:trPr>
              <w:tc>
                <w:tcPr>
                  <w:tcW w:w="12844" w:type="dxa"/>
                  <w:gridSpan w:val="7"/>
                  <w:tcBorders>
                    <w:top w:val="single" w:color="000000" w:sz="8"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p>
            <w:pPr>
              <w:widowControl/>
              <w:rPr>
                <w:rFonts w:ascii="Arial" w:hAnsi="Arial" w:cs="Arial"/>
                <w:color w:val="000000"/>
                <w:kern w:val="0"/>
                <w:sz w:val="28"/>
                <w:szCs w:val="28"/>
              </w:rPr>
            </w:pPr>
          </w:p>
        </w:tc>
      </w:tr>
      <w:tr>
        <w:tblPrEx>
          <w:tblCellMar>
            <w:top w:w="0" w:type="dxa"/>
            <w:left w:w="108" w:type="dxa"/>
            <w:bottom w:w="0" w:type="dxa"/>
            <w:right w:w="108" w:type="dxa"/>
          </w:tblCellMar>
        </w:tblPrEx>
        <w:trPr>
          <w:trHeight w:val="255" w:hRule="atLeast"/>
        </w:trPr>
        <w:tc>
          <w:tcPr>
            <w:tcW w:w="43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91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7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9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7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9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977" w:type="dxa"/>
            <w:tcBorders>
              <w:top w:val="nil"/>
              <w:left w:val="nil"/>
              <w:bottom w:val="nil"/>
              <w:right w:val="nil"/>
            </w:tcBorders>
            <w:shd w:val="clear" w:color="auto" w:fill="auto"/>
            <w:noWrap/>
            <w:vAlign w:val="bottom"/>
          </w:tcPr>
          <w:p>
            <w:pPr>
              <w:widowControl/>
              <w:jc w:val="center"/>
              <w:rPr>
                <w:rFonts w:ascii="宋体" w:hAnsi="宋体" w:cs="Arial"/>
                <w:color w:val="000000"/>
                <w:kern w:val="0"/>
                <w:sz w:val="20"/>
                <w:szCs w:val="20"/>
              </w:rPr>
            </w:pPr>
          </w:p>
        </w:tc>
      </w:tr>
    </w:tbl>
    <w:p>
      <w:pPr>
        <w:spacing w:line="580" w:lineRule="exact"/>
      </w:pPr>
    </w:p>
    <w:tbl>
      <w:tblPr>
        <w:tblStyle w:val="5"/>
        <w:tblW w:w="15228" w:type="dxa"/>
        <w:tblInd w:w="88" w:type="dxa"/>
        <w:tblLayout w:type="autofit"/>
        <w:tblCellMar>
          <w:top w:w="0" w:type="dxa"/>
          <w:left w:w="108" w:type="dxa"/>
          <w:bottom w:w="0" w:type="dxa"/>
          <w:right w:w="108" w:type="dxa"/>
        </w:tblCellMar>
      </w:tblPr>
      <w:tblGrid>
        <w:gridCol w:w="766"/>
        <w:gridCol w:w="2656"/>
        <w:gridCol w:w="762"/>
        <w:gridCol w:w="1223"/>
        <w:gridCol w:w="1276"/>
        <w:gridCol w:w="351"/>
        <w:gridCol w:w="1633"/>
        <w:gridCol w:w="580"/>
        <w:gridCol w:w="980"/>
        <w:gridCol w:w="873"/>
        <w:gridCol w:w="403"/>
        <w:gridCol w:w="364"/>
        <w:gridCol w:w="2045"/>
        <w:gridCol w:w="1316"/>
      </w:tblGrid>
      <w:tr>
        <w:tblPrEx>
          <w:tblCellMar>
            <w:top w:w="0" w:type="dxa"/>
            <w:left w:w="108" w:type="dxa"/>
            <w:bottom w:w="0" w:type="dxa"/>
            <w:right w:w="108" w:type="dxa"/>
          </w:tblCellMar>
        </w:tblPrEx>
        <w:trPr>
          <w:trHeight w:val="390" w:hRule="atLeast"/>
        </w:trPr>
        <w:tc>
          <w:tcPr>
            <w:tcW w:w="76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462" w:type="dxa"/>
            <w:gridSpan w:val="13"/>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76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18"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2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27"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1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5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67"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4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1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公开06表</w:t>
            </w:r>
          </w:p>
        </w:tc>
      </w:tr>
      <w:tr>
        <w:tblPrEx>
          <w:tblCellMar>
            <w:top w:w="0" w:type="dxa"/>
            <w:left w:w="108" w:type="dxa"/>
            <w:bottom w:w="0" w:type="dxa"/>
            <w:right w:w="108" w:type="dxa"/>
          </w:tblCellMar>
        </w:tblPrEx>
        <w:trPr>
          <w:trHeight w:val="255" w:hRule="atLeast"/>
        </w:trPr>
        <w:tc>
          <w:tcPr>
            <w:tcW w:w="5407"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公开部门：沙坡头区畜牧水产技术推广服务中心</w:t>
            </w:r>
          </w:p>
        </w:tc>
        <w:tc>
          <w:tcPr>
            <w:tcW w:w="1627"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1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5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67"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4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1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308" w:hRule="atLeast"/>
        </w:trPr>
        <w:tc>
          <w:tcPr>
            <w:tcW w:w="540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9821" w:type="dxa"/>
            <w:gridSpan w:val="10"/>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21" w:hRule="atLeast"/>
        </w:trPr>
        <w:tc>
          <w:tcPr>
            <w:tcW w:w="766"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265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85"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c>
          <w:tcPr>
            <w:tcW w:w="127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1984"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60"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c>
          <w:tcPr>
            <w:tcW w:w="1276"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2409"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31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tblPrEx>
          <w:tblCellMar>
            <w:top w:w="0" w:type="dxa"/>
            <w:left w:w="108" w:type="dxa"/>
            <w:bottom w:w="0" w:type="dxa"/>
            <w:right w:w="108" w:type="dxa"/>
          </w:tblCellMar>
        </w:tblPrEx>
        <w:trPr>
          <w:trHeight w:val="321" w:hRule="atLeast"/>
        </w:trPr>
        <w:tc>
          <w:tcPr>
            <w:tcW w:w="766"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2656"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985"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276"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984"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560"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276"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2409"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c>
          <w:tcPr>
            <w:tcW w:w="1316"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3,378,287.54</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113,700.00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债务利息及费用支出</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30101</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基本工资</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883,463.00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办公费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6,019.90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30701</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国内债务付息</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30102</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津贴补贴</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393,532.00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印刷费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6,099.00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30702</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国外债务付息</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30103</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370,000.00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咨询费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30106</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伙食补助费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手续费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31001</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房屋建筑物购建</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30107</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绩效工资</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483,977.00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水费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31002</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办公设备购置</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30108</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246,240.00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电费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21,100.79</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31003</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专用设备购置</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30109</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职业年金缴费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114,657.00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邮电费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5,884.92</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31005</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基础设施建设</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职工基本医疗保险缴费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181,817.64</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取暖费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12,429.70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31006</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大型修缮</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公务员医疗补助缴费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物业管理费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17,576.00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31007</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信息网络及软件购置更新</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其他社会保障缴费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17,822.90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差旅费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31008</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物资储备</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250,801.00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因公出国（境）费用</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31009</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土地补偿</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30114</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医疗费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维修（护）费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31010</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安置补助</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其他工资福利支出</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435,977.00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租赁费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31011</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地上附着物和青苗补偿</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36,000.00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会议费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31012</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拆迁补偿</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离休费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培训费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31013</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公务用车购置</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退休费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36,000.00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公务接待费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31019</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其他交通工具购置</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退职（役）费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专用材料费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31021</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文物和陈列品购置</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抚恤金</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30224</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被装购置费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31022</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无形资产购置</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生活补助</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30225</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专用燃料费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31099</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其他资本性支出</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救济费</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劳务费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医疗费补助</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委托业务费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39906</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赠与</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助学金</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工会经费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25,381.00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39907</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国家赔偿费用支出</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奖励金</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福利费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39908</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对民间非营利组织和群众性自治组织补贴</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30310</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个人农业生产补贴</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公务用车运行维护费</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39999</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其他对个人和家庭的补助</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其他交通费用</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3,868.39</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30240</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税金及附加费用</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5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其他商品和服务支出</w:t>
            </w:r>
          </w:p>
        </w:tc>
        <w:tc>
          <w:tcPr>
            <w:tcW w:w="156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15,340.30</w:t>
            </w:r>
          </w:p>
        </w:tc>
        <w:tc>
          <w:tcPr>
            <w:tcW w:w="127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422"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3,414,287.54</w:t>
            </w:r>
          </w:p>
        </w:tc>
        <w:tc>
          <w:tcPr>
            <w:tcW w:w="8505" w:type="dxa"/>
            <w:gridSpan w:val="9"/>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3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113,700.00</w:t>
            </w:r>
          </w:p>
        </w:tc>
      </w:tr>
      <w:tr>
        <w:tblPrEx>
          <w:tblCellMar>
            <w:top w:w="0" w:type="dxa"/>
            <w:left w:w="108" w:type="dxa"/>
            <w:bottom w:w="0" w:type="dxa"/>
            <w:right w:w="108" w:type="dxa"/>
          </w:tblCellMar>
        </w:tblPrEx>
        <w:trPr>
          <w:trHeight w:val="308" w:hRule="atLeast"/>
        </w:trPr>
        <w:tc>
          <w:tcPr>
            <w:tcW w:w="3422"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0490" w:type="dxa"/>
            <w:gridSpan w:val="11"/>
            <w:tcBorders>
              <w:top w:val="single" w:color="000000" w:sz="4" w:space="0"/>
              <w:left w:val="nil"/>
              <w:bottom w:val="single" w:color="000000" w:sz="4" w:space="0"/>
            </w:tcBorders>
            <w:shd w:val="clear" w:color="auto" w:fill="FFFFFF" w:themeFill="background1"/>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3527987.54</w:t>
            </w:r>
          </w:p>
        </w:tc>
        <w:tc>
          <w:tcPr>
            <w:tcW w:w="1316" w:type="dxa"/>
            <w:tcBorders>
              <w:top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5228" w:type="dxa"/>
            <w:gridSpan w:val="14"/>
            <w:tcBorders>
              <w:top w:val="nil"/>
              <w:left w:val="nil"/>
              <w:bottom w:val="nil"/>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注：本表反映部门本年度一般公共预算财政拨款基本支出明细情况，数据取自财决08-1表</w:t>
            </w:r>
          </w:p>
        </w:tc>
      </w:tr>
    </w:tbl>
    <w:p/>
    <w:p/>
    <w:p/>
    <w:p/>
    <w:p/>
    <w:p/>
    <w:p>
      <w:pPr>
        <w:tabs>
          <w:tab w:val="left" w:pos="1237"/>
        </w:tabs>
        <w:jc w:val="left"/>
      </w:pPr>
    </w:p>
    <w:tbl>
      <w:tblPr>
        <w:tblStyle w:val="5"/>
        <w:tblW w:w="15199" w:type="dxa"/>
        <w:jc w:val="center"/>
        <w:tblLayout w:type="fixed"/>
        <w:tblCellMar>
          <w:top w:w="0" w:type="dxa"/>
          <w:left w:w="108" w:type="dxa"/>
          <w:bottom w:w="0" w:type="dxa"/>
          <w:right w:w="108" w:type="dxa"/>
        </w:tblCellMar>
      </w:tblPr>
      <w:tblGrid>
        <w:gridCol w:w="1035"/>
        <w:gridCol w:w="98"/>
        <w:gridCol w:w="818"/>
        <w:gridCol w:w="425"/>
        <w:gridCol w:w="247"/>
        <w:gridCol w:w="440"/>
        <w:gridCol w:w="1384"/>
        <w:gridCol w:w="234"/>
        <w:gridCol w:w="1457"/>
        <w:gridCol w:w="156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4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6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公开部门：沙坡头区畜牧水产技术推广服务中心</w:t>
            </w: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4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61" w:type="dxa"/>
            <w:tcBorders>
              <w:top w:val="nil"/>
              <w:left w:val="nil"/>
              <w:bottom w:val="nil"/>
              <w:right w:val="nil"/>
            </w:tcBorders>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2019年度预算数</w:t>
            </w:r>
          </w:p>
        </w:tc>
        <w:tc>
          <w:tcPr>
            <w:tcW w:w="7500"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2019年度决算数</w:t>
            </w:r>
          </w:p>
        </w:tc>
      </w:tr>
      <w:tr>
        <w:tblPrEx>
          <w:tblCellMar>
            <w:top w:w="0" w:type="dxa"/>
            <w:left w:w="108" w:type="dxa"/>
            <w:bottom w:w="0" w:type="dxa"/>
            <w:right w:w="108" w:type="dxa"/>
          </w:tblCellMar>
        </w:tblPrEx>
        <w:trPr>
          <w:trHeight w:val="570" w:hRule="atLeast"/>
          <w:jc w:val="center"/>
        </w:trPr>
        <w:tc>
          <w:tcPr>
            <w:tcW w:w="10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1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18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56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1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691"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10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1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9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56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10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1500.00</w:t>
            </w:r>
          </w:p>
        </w:tc>
        <w:tc>
          <w:tcPr>
            <w:tcW w:w="916"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1500.00</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104"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single" w:color="auto" w:sz="4" w:space="0"/>
              <w:left w:val="nil"/>
              <w:right w:val="single" w:color="auto" w:sz="4" w:space="0"/>
            </w:tcBorders>
            <w:vAlign w:val="center"/>
          </w:tcPr>
          <w:p>
            <w:pPr>
              <w:widowControl/>
              <w:jc w:val="center"/>
              <w:rPr>
                <w:rFonts w:hint="eastAsia" w:ascii="Arial" w:hAnsi="Arial" w:cs="Arial"/>
                <w:color w:val="000000"/>
                <w:kern w:val="0"/>
                <w:sz w:val="20"/>
                <w:szCs w:val="20"/>
              </w:rPr>
            </w:pPr>
            <w:r>
              <w:rPr>
                <w:rFonts w:hint="eastAsia" w:ascii="Arial" w:hAnsi="Arial" w:cs="Arial"/>
                <w:color w:val="000000"/>
                <w:kern w:val="0"/>
                <w:sz w:val="20"/>
                <w:szCs w:val="20"/>
              </w:rPr>
              <w:t>0.00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注：2019年度预算数为“三公”经费全年预算数，反映按规定程序调整后的预算数；决算数是包括当年一般公共预算财政拨款和以前年度结转结余资金安排的实际支出，决算数据取自F03表。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公开部门：沙坡头区畜牧水产技术推广服务中心</w:t>
            </w: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bookmarkStart w:id="0" w:name="_GoBack"/>
            <w:bookmarkEnd w:id="0"/>
          </w:p>
        </w:tc>
        <w:tc>
          <w:tcPr>
            <w:tcW w:w="45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0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sectPr>
          <w:pgSz w:w="16838" w:h="11906" w:orient="landscape"/>
          <w:pgMar w:top="720" w:right="720" w:bottom="720" w:left="720" w:header="851" w:footer="992" w:gutter="0"/>
          <w:cols w:space="720" w:num="1"/>
          <w:docGrid w:type="linesAndChars" w:linePitch="321" w:charSpace="0"/>
        </w:sectPr>
      </w:pPr>
    </w:p>
    <w:p>
      <w:pPr>
        <w:spacing w:beforeLines="50" w:line="56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第三部分 2019年度部门决算情况说明</w:t>
      </w:r>
    </w:p>
    <w:p>
      <w:pPr>
        <w:spacing w:line="560" w:lineRule="exact"/>
        <w:outlineLvl w:val="1"/>
        <w:rPr>
          <w:rFonts w:ascii="Times New Roman" w:hAnsi="Times New Roman" w:eastAsia="黑体" w:cs="Times New Roman"/>
          <w:kern w:val="0"/>
          <w:sz w:val="32"/>
          <w:szCs w:val="32"/>
        </w:rPr>
      </w:pPr>
      <w:r>
        <w:rPr>
          <w:rFonts w:ascii="Times New Roman" w:hAnsi="Times New Roman" w:eastAsia="楷体_GB2312" w:cs="Times New Roman"/>
          <w:b/>
          <w:bCs/>
          <w:kern w:val="0"/>
          <w:sz w:val="32"/>
          <w:szCs w:val="32"/>
        </w:rPr>
        <w:t>一、收入支出决算总体情况说明</w:t>
      </w:r>
    </w:p>
    <w:p>
      <w:pPr>
        <w:spacing w:line="560" w:lineRule="exact"/>
        <w:ind w:firstLine="537" w:firstLineChars="168"/>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2019年度收入总计39897685.68元，支出总计37437567.9</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元。与2018年度相比，</w:t>
      </w:r>
      <w:r>
        <w:rPr>
          <w:rFonts w:hint="eastAsia" w:ascii="Times New Roman" w:hAnsi="Times New Roman" w:eastAsia="仿宋_GB2312" w:cs="Times New Roman"/>
          <w:kern w:val="0"/>
          <w:sz w:val="32"/>
          <w:szCs w:val="32"/>
        </w:rPr>
        <w:t>本年总收入比去年总收入</w:t>
      </w:r>
      <w:r>
        <w:rPr>
          <w:rFonts w:ascii="Times New Roman" w:hAnsi="Times New Roman" w:eastAsia="仿宋_GB2312" w:cs="Times New Roman"/>
          <w:kern w:val="0"/>
          <w:sz w:val="32"/>
          <w:szCs w:val="32"/>
        </w:rPr>
        <w:t>41303506.56</w:t>
      </w:r>
      <w:r>
        <w:rPr>
          <w:rFonts w:hint="eastAsia" w:ascii="Times New Roman" w:hAnsi="Times New Roman" w:eastAsia="仿宋_GB2312" w:cs="Times New Roman"/>
          <w:kern w:val="0"/>
          <w:sz w:val="32"/>
          <w:szCs w:val="32"/>
        </w:rPr>
        <w:t>元减少</w:t>
      </w:r>
      <w:r>
        <w:rPr>
          <w:rFonts w:ascii="Times New Roman" w:hAnsi="Times New Roman" w:eastAsia="仿宋_GB2312" w:cs="Times New Roman"/>
          <w:kern w:val="0"/>
          <w:sz w:val="32"/>
          <w:szCs w:val="32"/>
        </w:rPr>
        <w:t>1405820.88</w:t>
      </w:r>
      <w:r>
        <w:rPr>
          <w:rFonts w:hint="eastAsia" w:ascii="Times New Roman" w:hAnsi="Times New Roman" w:eastAsia="仿宋_GB2312" w:cs="Times New Roman"/>
          <w:kern w:val="0"/>
          <w:sz w:val="32"/>
          <w:szCs w:val="32"/>
        </w:rPr>
        <w:t>元，减少</w:t>
      </w:r>
      <w:r>
        <w:rPr>
          <w:rFonts w:ascii="Times New Roman" w:hAnsi="Times New Roman" w:eastAsia="仿宋_GB2312" w:cs="Times New Roman"/>
          <w:kern w:val="0"/>
          <w:sz w:val="32"/>
          <w:szCs w:val="32"/>
        </w:rPr>
        <w:t>3.4</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，主要是因为其他收入减少，今年比去年减少了了奶牛养殖大县、种养循环一体化、草原防火库等项目，项目收入减少；本年总支出比去年总支出</w:t>
      </w:r>
      <w:r>
        <w:rPr>
          <w:rFonts w:ascii="Times New Roman" w:hAnsi="Times New Roman" w:eastAsia="仿宋_GB2312" w:cs="Times New Roman"/>
          <w:kern w:val="0"/>
          <w:sz w:val="32"/>
          <w:szCs w:val="32"/>
        </w:rPr>
        <w:t>41286744.37</w:t>
      </w:r>
      <w:r>
        <w:rPr>
          <w:rFonts w:hint="eastAsia" w:ascii="Times New Roman" w:hAnsi="Times New Roman" w:eastAsia="仿宋_GB2312" w:cs="Times New Roman"/>
          <w:kern w:val="0"/>
          <w:sz w:val="32"/>
          <w:szCs w:val="32"/>
        </w:rPr>
        <w:t>元减少</w:t>
      </w:r>
      <w:r>
        <w:rPr>
          <w:rFonts w:ascii="Times New Roman" w:hAnsi="Times New Roman" w:eastAsia="仿宋_GB2312" w:cs="Times New Roman"/>
          <w:kern w:val="0"/>
          <w:sz w:val="32"/>
          <w:szCs w:val="32"/>
        </w:rPr>
        <w:t>3849176.47</w:t>
      </w:r>
      <w:r>
        <w:rPr>
          <w:rFonts w:hint="eastAsia" w:ascii="Times New Roman" w:hAnsi="Times New Roman" w:eastAsia="仿宋_GB2312" w:cs="Times New Roman"/>
          <w:kern w:val="0"/>
          <w:sz w:val="32"/>
          <w:szCs w:val="32"/>
        </w:rPr>
        <w:t>元，减少</w:t>
      </w:r>
      <w:r>
        <w:rPr>
          <w:rFonts w:ascii="Times New Roman" w:hAnsi="Times New Roman" w:eastAsia="仿宋_GB2312" w:cs="Times New Roman"/>
          <w:kern w:val="0"/>
          <w:sz w:val="32"/>
          <w:szCs w:val="32"/>
        </w:rPr>
        <w:t>9.32%</w:t>
      </w:r>
      <w:r>
        <w:rPr>
          <w:rFonts w:hint="eastAsia" w:ascii="Times New Roman" w:hAnsi="Times New Roman" w:eastAsia="仿宋_GB2312" w:cs="Times New Roman"/>
          <w:kern w:val="0"/>
          <w:sz w:val="32"/>
          <w:szCs w:val="32"/>
        </w:rPr>
        <w:t>，主要是因为今年减少了奶牛养殖大县、种养循环一体化等项目支出</w:t>
      </w:r>
      <w:r>
        <w:rPr>
          <w:rFonts w:ascii="Times New Roman" w:hAnsi="Times New Roman" w:eastAsia="仿宋_GB2312" w:cs="Times New Roman"/>
          <w:kern w:val="0"/>
          <w:sz w:val="32"/>
          <w:szCs w:val="32"/>
        </w:rPr>
        <w:t>。</w:t>
      </w:r>
    </w:p>
    <w:p>
      <w:pPr>
        <w:spacing w:line="560" w:lineRule="exact"/>
        <w:outlineLvl w:val="1"/>
        <w:rPr>
          <w:rFonts w:ascii="Times New Roman" w:hAnsi="Times New Roman" w:eastAsia="黑体" w:cs="Times New Roman"/>
          <w:kern w:val="0"/>
          <w:sz w:val="32"/>
          <w:szCs w:val="32"/>
        </w:rPr>
      </w:pPr>
      <w:r>
        <w:rPr>
          <w:rFonts w:ascii="Times New Roman" w:hAnsi="Times New Roman" w:eastAsia="楷体_GB2312" w:cs="Times New Roman"/>
          <w:b/>
          <w:bCs/>
          <w:kern w:val="0"/>
          <w:sz w:val="32"/>
          <w:szCs w:val="32"/>
        </w:rPr>
        <w:t xml:space="preserve"> 二、收入决算情况说明</w:t>
      </w:r>
    </w:p>
    <w:p>
      <w:pPr>
        <w:pStyle w:val="8"/>
        <w:spacing w:line="560" w:lineRule="exact"/>
        <w:ind w:firstLine="745" w:firstLineChars="233"/>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w:t>
      </w:r>
      <w:r>
        <w:rPr>
          <w:rFonts w:ascii="Times New Roman" w:hAnsi="Times New Roman" w:eastAsia="仿宋_GB2312" w:cs="Times New Roman"/>
          <w:color w:val="auto"/>
          <w:sz w:val="32"/>
          <w:szCs w:val="32"/>
        </w:rPr>
        <w:t>019年度收入合计39897685.68元，其中：财政拨款收入 3527987.54元，占8.84%；上级补助收入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%；其他收入36369698.14元，占91.1</w:t>
      </w:r>
      <w:r>
        <w:rPr>
          <w:rFonts w:hint="eastAsia" w:ascii="Times New Roman" w:hAnsi="Times New Roman" w:eastAsia="仿宋_GB2312" w:cs="Times New Roman"/>
          <w:color w:val="auto"/>
          <w:sz w:val="32"/>
          <w:szCs w:val="32"/>
        </w:rPr>
        <w:t>6</w:t>
      </w:r>
      <w:r>
        <w:rPr>
          <w:rFonts w:ascii="Times New Roman" w:hAnsi="Times New Roman" w:eastAsia="仿宋_GB2312" w:cs="Times New Roman"/>
          <w:color w:val="auto"/>
          <w:sz w:val="32"/>
          <w:szCs w:val="32"/>
        </w:rPr>
        <w:t>%。</w:t>
      </w:r>
    </w:p>
    <w:p>
      <w:pPr>
        <w:pStyle w:val="8"/>
        <w:spacing w:line="560" w:lineRule="exact"/>
        <w:ind w:firstLine="630" w:firstLineChars="196"/>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三、支出决算情况说明</w:t>
      </w:r>
    </w:p>
    <w:p>
      <w:pPr>
        <w:spacing w:line="560" w:lineRule="exact"/>
        <w:ind w:firstLine="614" w:firstLineChars="192"/>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2019年度支出合计37437567.9</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元，其中：基本支出3527987.54元，占9.42%；项目支出33909580.36元，占90.58%；上缴上级支出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%；经营支出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%，对附属单位补助支出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p>
    <w:p>
      <w:pPr>
        <w:spacing w:line="56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四、财政拨款收入支出决算总体情况说明</w:t>
      </w:r>
    </w:p>
    <w:p>
      <w:pPr>
        <w:spacing w:line="56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2019年度财政拨款收入总计3527987.54元，支出总计3527987.54元。与2018年度</w:t>
      </w:r>
      <w:r>
        <w:rPr>
          <w:rFonts w:hint="eastAsia" w:ascii="Times New Roman" w:hAnsi="Times New Roman" w:eastAsia="仿宋_GB2312" w:cs="Times New Roman"/>
          <w:kern w:val="0"/>
          <w:sz w:val="32"/>
          <w:szCs w:val="32"/>
        </w:rPr>
        <w:t>2912674.92</w:t>
      </w:r>
      <w:r>
        <w:rPr>
          <w:rFonts w:hint="eastAsia" w:ascii="Times New Roman" w:hAnsi="Times New Roman" w:eastAsia="仿宋_GB2312" w:cs="Times New Roman"/>
          <w:kern w:val="0"/>
          <w:sz w:val="32"/>
          <w:szCs w:val="32"/>
          <w:lang w:eastAsia="zh-CN"/>
        </w:rPr>
        <w:t>元</w:t>
      </w:r>
      <w:r>
        <w:rPr>
          <w:rFonts w:ascii="Times New Roman" w:hAnsi="Times New Roman" w:eastAsia="仿宋_GB2312" w:cs="Times New Roman"/>
          <w:kern w:val="0"/>
          <w:sz w:val="32"/>
          <w:szCs w:val="32"/>
        </w:rPr>
        <w:t>相比，财政拨款收、支总计各增加</w:t>
      </w:r>
      <w:r>
        <w:rPr>
          <w:rFonts w:hint="eastAsia" w:ascii="Times New Roman" w:hAnsi="Times New Roman" w:eastAsia="仿宋_GB2312" w:cs="Times New Roman"/>
          <w:kern w:val="0"/>
          <w:sz w:val="32"/>
          <w:szCs w:val="32"/>
        </w:rPr>
        <w:t>615312.62</w:t>
      </w:r>
      <w:r>
        <w:rPr>
          <w:rFonts w:ascii="Times New Roman" w:hAnsi="Times New Roman" w:eastAsia="仿宋_GB2312" w:cs="Times New Roman"/>
          <w:kern w:val="0"/>
          <w:sz w:val="32"/>
          <w:szCs w:val="32"/>
        </w:rPr>
        <w:t>元，增长</w:t>
      </w:r>
      <w:r>
        <w:rPr>
          <w:rFonts w:hint="eastAsia" w:ascii="Times New Roman" w:hAnsi="Times New Roman" w:eastAsia="仿宋_GB2312" w:cs="Times New Roman"/>
          <w:kern w:val="0"/>
          <w:sz w:val="32"/>
          <w:szCs w:val="32"/>
        </w:rPr>
        <w:t>21</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今年职工工资、保险、公积金等上调；以及住房补贴等上调</w:t>
      </w:r>
      <w:r>
        <w:rPr>
          <w:rFonts w:ascii="Times New Roman" w:hAnsi="Times New Roman" w:eastAsia="仿宋_GB2312" w:cs="Times New Roman"/>
          <w:kern w:val="0"/>
          <w:sz w:val="32"/>
          <w:szCs w:val="32"/>
        </w:rPr>
        <w:t>。</w:t>
      </w:r>
    </w:p>
    <w:p>
      <w:pPr>
        <w:spacing w:line="56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五、一般公共预算财政拨款支出决算情况说明</w:t>
      </w:r>
    </w:p>
    <w:p>
      <w:pPr>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（一）</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总体情况。</w:t>
      </w:r>
      <w:r>
        <w:rPr>
          <w:rFonts w:ascii="Times New Roman" w:hAnsi="Times New Roman" w:eastAsia="仿宋_GB2312" w:cs="Times New Roman"/>
          <w:kern w:val="0"/>
          <w:sz w:val="32"/>
          <w:szCs w:val="32"/>
        </w:rPr>
        <w:t>2019年度一般公共预算财政拨款支出3527987.54元，占本年支出合计的</w:t>
      </w:r>
      <w:r>
        <w:rPr>
          <w:rFonts w:hint="eastAsia" w:ascii="Times New Roman" w:hAnsi="Times New Roman" w:eastAsia="仿宋_GB2312" w:cs="Times New Roman"/>
          <w:kern w:val="0"/>
          <w:sz w:val="32"/>
          <w:szCs w:val="32"/>
        </w:rPr>
        <w:t>9.42</w:t>
      </w:r>
      <w:r>
        <w:rPr>
          <w:rFonts w:ascii="Times New Roman" w:hAnsi="Times New Roman" w:eastAsia="仿宋_GB2312" w:cs="Times New Roman"/>
          <w:kern w:val="0"/>
          <w:sz w:val="32"/>
          <w:szCs w:val="32"/>
        </w:rPr>
        <w:t>%。与2018年度相比，一般公共预算财政拨款支出增加</w:t>
      </w:r>
      <w:r>
        <w:rPr>
          <w:rFonts w:hint="eastAsia" w:ascii="Times New Roman" w:hAnsi="Times New Roman" w:eastAsia="仿宋_GB2312" w:cs="Times New Roman"/>
          <w:kern w:val="0"/>
          <w:sz w:val="32"/>
          <w:szCs w:val="32"/>
        </w:rPr>
        <w:t>615312.62</w:t>
      </w:r>
      <w:r>
        <w:rPr>
          <w:rFonts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rPr>
        <w:t>增加21</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今年职工工资、保险、公积金等上调；以及住房补贴等上调</w:t>
      </w:r>
      <w:r>
        <w:rPr>
          <w:rFonts w:ascii="Times New Roman" w:hAnsi="Times New Roman" w:eastAsia="仿宋_GB2312" w:cs="Times New Roman"/>
          <w:kern w:val="0"/>
          <w:sz w:val="32"/>
          <w:szCs w:val="32"/>
        </w:rPr>
        <w:t>。</w:t>
      </w:r>
    </w:p>
    <w:p>
      <w:pPr>
        <w:spacing w:line="560" w:lineRule="exact"/>
        <w:ind w:firstLine="655" w:firstLineChars="204"/>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（二）</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结构情况。</w:t>
      </w:r>
      <w:r>
        <w:rPr>
          <w:rFonts w:ascii="Times New Roman" w:hAnsi="Times New Roman" w:eastAsia="仿宋_GB2312" w:cs="Times New Roman"/>
          <w:kern w:val="0"/>
          <w:sz w:val="32"/>
          <w:szCs w:val="32"/>
        </w:rPr>
        <w:t>2019年度一般公共预算财政拨款支出</w:t>
      </w:r>
      <w:r>
        <w:rPr>
          <w:rFonts w:ascii="Times New Roman" w:hAnsi="Times New Roman" w:eastAsia="仿宋_GB2312" w:cs="Times New Roman"/>
          <w:sz w:val="32"/>
          <w:szCs w:val="32"/>
        </w:rPr>
        <w:t>3527987.54</w:t>
      </w:r>
      <w:r>
        <w:rPr>
          <w:rFonts w:ascii="Times New Roman" w:hAnsi="Times New Roman" w:eastAsia="仿宋_GB2312" w:cs="Times New Roman"/>
          <w:kern w:val="0"/>
          <w:sz w:val="32"/>
          <w:szCs w:val="32"/>
        </w:rPr>
        <w:t>元，主要用于以下方面：一般公共服务（类）支出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%；教育（类）支出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%；科学技术（类）支出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%；文化旅游体育与传媒（类）支出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%；社会保障和就业（类）支出396,897元，占</w:t>
      </w:r>
      <w:r>
        <w:rPr>
          <w:rFonts w:hint="eastAsia" w:ascii="Times New Roman" w:hAnsi="Times New Roman" w:eastAsia="仿宋_GB2312" w:cs="Times New Roman"/>
          <w:kern w:val="0"/>
          <w:sz w:val="32"/>
          <w:szCs w:val="32"/>
        </w:rPr>
        <w:t>11.25</w:t>
      </w:r>
      <w:r>
        <w:rPr>
          <w:rFonts w:ascii="Times New Roman" w:hAnsi="Times New Roman" w:eastAsia="仿宋_GB2312" w:cs="Times New Roman"/>
          <w:kern w:val="0"/>
          <w:sz w:val="32"/>
          <w:szCs w:val="32"/>
        </w:rPr>
        <w:t>%；卫生健康（类）支出181,817.64元，占</w:t>
      </w:r>
      <w:r>
        <w:rPr>
          <w:rFonts w:hint="eastAsia" w:ascii="Times New Roman" w:hAnsi="Times New Roman" w:eastAsia="仿宋_GB2312" w:cs="Times New Roman"/>
          <w:kern w:val="0"/>
          <w:sz w:val="32"/>
          <w:szCs w:val="32"/>
        </w:rPr>
        <w:t>5.15</w:t>
      </w:r>
      <w:r>
        <w:rPr>
          <w:rFonts w:ascii="Times New Roman" w:hAnsi="Times New Roman" w:eastAsia="仿宋_GB2312" w:cs="Times New Roman"/>
          <w:kern w:val="0"/>
          <w:sz w:val="32"/>
          <w:szCs w:val="32"/>
        </w:rPr>
        <w:t>%；节能环保（类）支出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%；城乡社区（类）支出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%；资源勘探信息（类）支出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%；农林水（类）支出2,698,471.90元，占</w:t>
      </w:r>
      <w:r>
        <w:rPr>
          <w:rFonts w:hint="eastAsia" w:ascii="Times New Roman" w:hAnsi="Times New Roman" w:eastAsia="仿宋_GB2312" w:cs="Times New Roman"/>
          <w:kern w:val="0"/>
          <w:sz w:val="32"/>
          <w:szCs w:val="32"/>
        </w:rPr>
        <w:t>76.49</w:t>
      </w:r>
      <w:r>
        <w:rPr>
          <w:rFonts w:ascii="Times New Roman" w:hAnsi="Times New Roman" w:eastAsia="仿宋_GB2312" w:cs="Times New Roman"/>
          <w:kern w:val="0"/>
          <w:sz w:val="32"/>
          <w:szCs w:val="32"/>
        </w:rPr>
        <w:t>%；交通运输（类）支出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%；自然资源海洋气象（类）支出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%；住房保障（类）支出250,801元，占</w:t>
      </w:r>
      <w:r>
        <w:rPr>
          <w:rFonts w:hint="eastAsia" w:ascii="Times New Roman" w:hAnsi="Times New Roman" w:eastAsia="仿宋_GB2312" w:cs="Times New Roman"/>
          <w:kern w:val="0"/>
          <w:sz w:val="32"/>
          <w:szCs w:val="32"/>
        </w:rPr>
        <w:t>7.11</w:t>
      </w:r>
      <w:r>
        <w:rPr>
          <w:rFonts w:ascii="Times New Roman" w:hAnsi="Times New Roman" w:eastAsia="仿宋_GB2312" w:cs="Times New Roman"/>
          <w:kern w:val="0"/>
          <w:sz w:val="32"/>
          <w:szCs w:val="32"/>
        </w:rPr>
        <w:t>%。</w:t>
      </w:r>
    </w:p>
    <w:p>
      <w:pPr>
        <w:spacing w:line="560" w:lineRule="exact"/>
        <w:ind w:firstLine="614" w:firstLineChars="191"/>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（三）</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具体情况。</w:t>
      </w:r>
      <w:r>
        <w:rPr>
          <w:rFonts w:ascii="Times New Roman" w:hAnsi="Times New Roman" w:eastAsia="仿宋_GB2312" w:cs="Times New Roman"/>
          <w:kern w:val="0"/>
          <w:sz w:val="32"/>
          <w:szCs w:val="32"/>
        </w:rPr>
        <w:t>2019年度一般公共预算财政拨款支出年初预算为3229700元，支出决算为</w:t>
      </w:r>
      <w:r>
        <w:rPr>
          <w:rFonts w:ascii="Times New Roman" w:hAnsi="Times New Roman" w:eastAsia="仿宋_GB2312" w:cs="Times New Roman"/>
          <w:sz w:val="32"/>
          <w:szCs w:val="32"/>
        </w:rPr>
        <w:t>3527987.54</w:t>
      </w:r>
      <w:r>
        <w:rPr>
          <w:rFonts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rPr>
        <w:t>109.24</w:t>
      </w:r>
      <w:r>
        <w:rPr>
          <w:rFonts w:ascii="Times New Roman" w:hAnsi="Times New Roman" w:eastAsia="仿宋_GB2312" w:cs="Times New Roman"/>
          <w:kern w:val="0"/>
          <w:sz w:val="32"/>
          <w:szCs w:val="32"/>
        </w:rPr>
        <w:t>%。决算数大于预算数的主要原因：一是</w:t>
      </w:r>
      <w:r>
        <w:rPr>
          <w:rFonts w:hint="eastAsia" w:ascii="Times New Roman" w:hAnsi="Times New Roman" w:eastAsia="仿宋_GB2312" w:cs="Times New Roman"/>
          <w:kern w:val="0"/>
          <w:sz w:val="32"/>
          <w:szCs w:val="32"/>
        </w:rPr>
        <w:t>主要是人员基本支出里面事业运行支出大，因为今年补发了职工</w:t>
      </w:r>
      <w:r>
        <w:rPr>
          <w:rFonts w:ascii="Times New Roman" w:hAnsi="Times New Roman" w:eastAsia="仿宋_GB2312" w:cs="Times New Roman"/>
          <w:kern w:val="0"/>
          <w:sz w:val="32"/>
          <w:szCs w:val="32"/>
        </w:rPr>
        <w:t>15-18</w:t>
      </w:r>
      <w:r>
        <w:rPr>
          <w:rFonts w:hint="eastAsia" w:ascii="Times New Roman" w:hAnsi="Times New Roman" w:eastAsia="仿宋_GB2312" w:cs="Times New Roman"/>
          <w:kern w:val="0"/>
          <w:sz w:val="32"/>
          <w:szCs w:val="32"/>
        </w:rPr>
        <w:t>年住房补贴；二是</w:t>
      </w:r>
      <w:r>
        <w:rPr>
          <w:rFonts w:ascii="Times New Roman" w:hAnsi="Times New Roman" w:eastAsia="仿宋_GB2312" w:cs="Times New Roman"/>
          <w:kern w:val="0"/>
          <w:sz w:val="32"/>
          <w:szCs w:val="32"/>
        </w:rPr>
        <w:t>16-19</w:t>
      </w:r>
      <w:r>
        <w:rPr>
          <w:rFonts w:hint="eastAsia" w:ascii="Times New Roman" w:hAnsi="Times New Roman" w:eastAsia="仿宋_GB2312" w:cs="Times New Roman"/>
          <w:kern w:val="0"/>
          <w:sz w:val="32"/>
          <w:szCs w:val="32"/>
        </w:rPr>
        <w:t>年职工有毒有害津贴，预算里没有做进去；</w:t>
      </w:r>
      <w:r>
        <w:rPr>
          <w:rFonts w:ascii="Times New Roman" w:hAnsi="Times New Roman" w:eastAsia="仿宋_GB2312" w:cs="Times New Roman"/>
          <w:kern w:val="0"/>
          <w:sz w:val="32"/>
          <w:szCs w:val="32"/>
        </w:rPr>
        <w:t>其中</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社会保障和就业（类）支出</w:t>
      </w:r>
      <w:r>
        <w:rPr>
          <w:rFonts w:hint="eastAsia" w:ascii="Times New Roman" w:hAnsi="Times New Roman" w:eastAsia="仿宋_GB2312" w:cs="Times New Roman"/>
          <w:kern w:val="0"/>
          <w:sz w:val="32"/>
          <w:szCs w:val="32"/>
        </w:rPr>
        <w:t>比年初预算增加25497元</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农林水（类）支出</w:t>
      </w:r>
      <w:r>
        <w:rPr>
          <w:rFonts w:hint="eastAsia" w:ascii="Times New Roman" w:hAnsi="Times New Roman" w:eastAsia="仿宋_GB2312" w:cs="Times New Roman"/>
          <w:kern w:val="0"/>
          <w:sz w:val="32"/>
          <w:szCs w:val="32"/>
        </w:rPr>
        <w:t>比年初预算增加234471.90元</w:t>
      </w:r>
      <w:r>
        <w:rPr>
          <w:rFonts w:ascii="Times New Roman" w:hAnsi="Times New Roman" w:eastAsia="仿宋_GB2312" w:cs="Times New Roman"/>
          <w:kern w:val="0"/>
          <w:sz w:val="32"/>
          <w:szCs w:val="32"/>
        </w:rPr>
        <w:t>； 3. 住房保障（类）支出</w:t>
      </w:r>
      <w:r>
        <w:rPr>
          <w:rFonts w:hint="eastAsia" w:ascii="Times New Roman" w:hAnsi="Times New Roman" w:eastAsia="仿宋_GB2312" w:cs="Times New Roman"/>
          <w:kern w:val="0"/>
          <w:sz w:val="32"/>
          <w:szCs w:val="32"/>
        </w:rPr>
        <w:t>比年初预算增加60401元</w:t>
      </w:r>
      <w:r>
        <w:rPr>
          <w:rFonts w:ascii="Times New Roman" w:hAnsi="Times New Roman" w:eastAsia="仿宋_GB2312" w:cs="Times New Roman"/>
          <w:kern w:val="0"/>
          <w:sz w:val="32"/>
          <w:szCs w:val="32"/>
        </w:rPr>
        <w:t>。</w:t>
      </w:r>
    </w:p>
    <w:p>
      <w:pPr>
        <w:spacing w:line="56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六、一般公共预算财政拨款基本支出决算情况说明（按经济分类填列到款级科目）</w:t>
      </w:r>
    </w:p>
    <w:p>
      <w:pPr>
        <w:pStyle w:val="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2019年度一般公共预算财政拨款基本支出3527987.54元，</w:t>
      </w:r>
      <w:r>
        <w:rPr>
          <w:rFonts w:ascii="Times New Roman" w:hAnsi="Times New Roman" w:eastAsia="仿宋_GB2312" w:cs="Times New Roman"/>
          <w:sz w:val="32"/>
          <w:szCs w:val="32"/>
        </w:rPr>
        <w:t>其中：人员经费</w:t>
      </w:r>
      <w:r>
        <w:rPr>
          <w:rFonts w:ascii="Times New Roman" w:hAnsi="Times New Roman" w:eastAsia="仿宋_GB2312" w:cs="Times New Roman"/>
          <w:color w:val="auto"/>
          <w:sz w:val="32"/>
          <w:szCs w:val="32"/>
        </w:rPr>
        <w:t>3414287.54</w:t>
      </w:r>
      <w:r>
        <w:rPr>
          <w:rFonts w:ascii="Times New Roman" w:hAnsi="Times New Roman" w:eastAsia="仿宋_GB2312" w:cs="Times New Roman"/>
          <w:sz w:val="32"/>
          <w:szCs w:val="32"/>
        </w:rPr>
        <w:t>元，公用经费</w:t>
      </w:r>
      <w:r>
        <w:rPr>
          <w:rFonts w:hint="eastAsia" w:ascii="Times New Roman" w:hAnsi="Times New Roman" w:eastAsia="仿宋_GB2312" w:cs="Times New Roman"/>
          <w:sz w:val="32"/>
          <w:szCs w:val="32"/>
        </w:rPr>
        <w:t>113700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 xml:space="preserve">支出具体情况如下： </w:t>
      </w:r>
    </w:p>
    <w:p>
      <w:pPr>
        <w:pStyle w:val="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1.工资福利支出</w:t>
      </w:r>
      <w:r>
        <w:rPr>
          <w:rFonts w:hint="eastAsia" w:ascii="Times New Roman" w:hAnsi="Times New Roman" w:eastAsia="仿宋_GB2312" w:cs="Times New Roman"/>
          <w:color w:val="auto"/>
          <w:sz w:val="32"/>
          <w:szCs w:val="32"/>
        </w:rPr>
        <w:t>3378287.54</w:t>
      </w:r>
      <w:r>
        <w:rPr>
          <w:rFonts w:ascii="Times New Roman" w:hAnsi="Times New Roman" w:eastAsia="仿宋_GB2312" w:cs="Times New Roman"/>
          <w:color w:val="auto"/>
          <w:sz w:val="32"/>
          <w:szCs w:val="32"/>
        </w:rPr>
        <w:t>元，较2019年度年初预算数</w:t>
      </w:r>
      <w:r>
        <w:rPr>
          <w:rFonts w:hint="eastAsia" w:ascii="Times New Roman" w:hAnsi="Times New Roman" w:eastAsia="仿宋_GB2312" w:cs="Times New Roman"/>
          <w:color w:val="auto"/>
          <w:sz w:val="32"/>
          <w:szCs w:val="32"/>
        </w:rPr>
        <w:t>3062000</w:t>
      </w:r>
      <w:r>
        <w:rPr>
          <w:rFonts w:hint="eastAsia" w:ascii="Times New Roman" w:hAnsi="Times New Roman" w:eastAsia="仿宋_GB2312" w:cs="Times New Roman"/>
          <w:color w:val="auto"/>
          <w:sz w:val="32"/>
          <w:szCs w:val="32"/>
          <w:lang w:eastAsia="zh-CN"/>
        </w:rPr>
        <w:t>元</w:t>
      </w:r>
      <w:r>
        <w:rPr>
          <w:rFonts w:ascii="Times New Roman" w:hAnsi="Times New Roman" w:eastAsia="仿宋_GB2312" w:cs="Times New Roman"/>
          <w:color w:val="auto"/>
          <w:sz w:val="32"/>
          <w:szCs w:val="32"/>
        </w:rPr>
        <w:t>增加</w:t>
      </w:r>
      <w:r>
        <w:rPr>
          <w:rFonts w:hint="eastAsia" w:ascii="Times New Roman" w:hAnsi="Times New Roman" w:eastAsia="仿宋_GB2312" w:cs="Times New Roman"/>
          <w:color w:val="auto"/>
          <w:sz w:val="32"/>
          <w:szCs w:val="32"/>
        </w:rPr>
        <w:t>316287.54</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10.33</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主要是人员基本支出里面事业运行支出大，因为今年补发了职工</w:t>
      </w:r>
      <w:r>
        <w:rPr>
          <w:rFonts w:ascii="Times New Roman" w:hAnsi="Times New Roman" w:eastAsia="仿宋_GB2312" w:cs="Times New Roman"/>
          <w:color w:val="auto"/>
          <w:sz w:val="32"/>
          <w:szCs w:val="32"/>
        </w:rPr>
        <w:t>15-18</w:t>
      </w:r>
      <w:r>
        <w:rPr>
          <w:rFonts w:hint="eastAsia" w:ascii="Times New Roman" w:hAnsi="Times New Roman" w:eastAsia="仿宋_GB2312" w:cs="Times New Roman"/>
          <w:color w:val="auto"/>
          <w:sz w:val="32"/>
          <w:szCs w:val="32"/>
        </w:rPr>
        <w:t>年住房补贴，</w:t>
      </w:r>
      <w:r>
        <w:rPr>
          <w:rFonts w:ascii="Times New Roman" w:hAnsi="Times New Roman" w:eastAsia="仿宋_GB2312" w:cs="Times New Roman"/>
          <w:color w:val="auto"/>
          <w:sz w:val="32"/>
          <w:szCs w:val="32"/>
        </w:rPr>
        <w:t>16-19</w:t>
      </w:r>
      <w:r>
        <w:rPr>
          <w:rFonts w:hint="eastAsia" w:ascii="Times New Roman" w:hAnsi="Times New Roman" w:eastAsia="仿宋_GB2312" w:cs="Times New Roman"/>
          <w:color w:val="auto"/>
          <w:sz w:val="32"/>
          <w:szCs w:val="32"/>
        </w:rPr>
        <w:t>年职工有毒有害津贴，预算里没有做进去</w:t>
      </w:r>
      <w:r>
        <w:rPr>
          <w:rFonts w:ascii="Times New Roman" w:hAnsi="Times New Roman" w:eastAsia="仿宋_GB2312" w:cs="Times New Roman"/>
          <w:color w:val="auto"/>
          <w:sz w:val="32"/>
          <w:szCs w:val="32"/>
        </w:rPr>
        <w:t>；较2018年度决算数增加</w:t>
      </w:r>
      <w:r>
        <w:rPr>
          <w:rFonts w:hint="eastAsia" w:ascii="Times New Roman" w:hAnsi="Times New Roman" w:eastAsia="仿宋_GB2312" w:cs="Times New Roman"/>
          <w:color w:val="auto"/>
          <w:sz w:val="32"/>
          <w:szCs w:val="32"/>
        </w:rPr>
        <w:t>620812.62</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22.51</w:t>
      </w:r>
      <w:r>
        <w:rPr>
          <w:rFonts w:ascii="Times New Roman" w:hAnsi="Times New Roman" w:eastAsia="仿宋_GB2312" w:cs="Times New Roman"/>
          <w:color w:val="auto"/>
          <w:sz w:val="32"/>
          <w:szCs w:val="32"/>
        </w:rPr>
        <w:t>%。</w:t>
      </w:r>
    </w:p>
    <w:p>
      <w:pPr>
        <w:pStyle w:val="8"/>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2.商品和服务支出</w:t>
      </w:r>
      <w:r>
        <w:rPr>
          <w:rFonts w:hint="eastAsia" w:ascii="Times New Roman" w:hAnsi="Times New Roman" w:eastAsia="仿宋_GB2312" w:cs="Times New Roman"/>
          <w:color w:val="auto"/>
          <w:sz w:val="32"/>
          <w:szCs w:val="32"/>
          <w:highlight w:val="none"/>
        </w:rPr>
        <w:t>113700</w:t>
      </w:r>
      <w:r>
        <w:rPr>
          <w:rFonts w:ascii="Times New Roman" w:hAnsi="Times New Roman" w:eastAsia="仿宋_GB2312" w:cs="Times New Roman"/>
          <w:color w:val="auto"/>
          <w:sz w:val="32"/>
          <w:szCs w:val="32"/>
          <w:highlight w:val="none"/>
        </w:rPr>
        <w:t>元，较2019年度年初预算数</w:t>
      </w:r>
      <w:r>
        <w:rPr>
          <w:rFonts w:hint="eastAsia" w:ascii="Times New Roman" w:hAnsi="Times New Roman" w:eastAsia="仿宋_GB2312" w:cs="Times New Roman"/>
          <w:color w:val="auto"/>
          <w:sz w:val="32"/>
          <w:szCs w:val="32"/>
          <w:highlight w:val="none"/>
        </w:rPr>
        <w:t>无变化，</w:t>
      </w:r>
      <w:r>
        <w:rPr>
          <w:rFonts w:hint="eastAsia" w:ascii="Times New Roman" w:hAnsi="Times New Roman" w:eastAsia="仿宋_GB2312" w:cs="Times New Roman"/>
          <w:color w:val="auto"/>
          <w:sz w:val="32"/>
          <w:szCs w:val="32"/>
          <w:highlight w:val="none"/>
          <w:lang w:eastAsia="zh-CN"/>
        </w:rPr>
        <w:t>主要原因</w:t>
      </w:r>
      <w:r>
        <w:rPr>
          <w:rFonts w:hint="eastAsia" w:ascii="Times New Roman" w:hAnsi="Times New Roman" w:eastAsia="仿宋_GB2312" w:cs="Times New Roman"/>
          <w:color w:val="auto"/>
          <w:sz w:val="32"/>
          <w:szCs w:val="32"/>
          <w:highlight w:val="none"/>
        </w:rPr>
        <w:t>是</w:t>
      </w:r>
      <w:r>
        <w:rPr>
          <w:rFonts w:hint="eastAsia" w:ascii="Times New Roman" w:hAnsi="Times New Roman" w:eastAsia="仿宋_GB2312" w:cs="Times New Roman"/>
          <w:color w:val="auto"/>
          <w:sz w:val="32"/>
          <w:szCs w:val="32"/>
          <w:highlight w:val="none"/>
          <w:lang w:eastAsia="zh-CN"/>
        </w:rPr>
        <w:t>严格</w:t>
      </w:r>
      <w:r>
        <w:rPr>
          <w:rFonts w:hint="eastAsia" w:ascii="Times New Roman" w:hAnsi="Times New Roman" w:eastAsia="仿宋_GB2312" w:cs="Times New Roman"/>
          <w:color w:val="auto"/>
          <w:sz w:val="32"/>
          <w:szCs w:val="32"/>
          <w:highlight w:val="none"/>
        </w:rPr>
        <w:t>根据预算数进行支出</w:t>
      </w:r>
      <w:r>
        <w:rPr>
          <w:rFonts w:ascii="Times New Roman" w:hAnsi="Times New Roman" w:eastAsia="仿宋_GB2312" w:cs="Times New Roman"/>
          <w:color w:val="auto"/>
          <w:sz w:val="32"/>
          <w:szCs w:val="32"/>
          <w:highlight w:val="none"/>
        </w:rPr>
        <w:t>。</w:t>
      </w:r>
    </w:p>
    <w:p>
      <w:pPr>
        <w:pStyle w:val="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3.对个人和家庭的补助</w:t>
      </w:r>
      <w:r>
        <w:rPr>
          <w:rFonts w:hint="eastAsia" w:ascii="Times New Roman" w:hAnsi="Times New Roman" w:eastAsia="仿宋_GB2312" w:cs="Times New Roman"/>
          <w:sz w:val="32"/>
          <w:szCs w:val="32"/>
        </w:rPr>
        <w:t>36000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较2019年度年初预算数减少</w:t>
      </w:r>
      <w:r>
        <w:rPr>
          <w:rFonts w:hint="eastAsia" w:ascii="Times New Roman" w:hAnsi="Times New Roman" w:eastAsia="仿宋_GB2312" w:cs="Times New Roman"/>
          <w:color w:val="auto"/>
          <w:sz w:val="32"/>
          <w:szCs w:val="32"/>
        </w:rPr>
        <w:t>18000</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rPr>
        <w:t>33.33</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退休人员的住房补贴没有清算发放</w:t>
      </w:r>
      <w:r>
        <w:rPr>
          <w:rFonts w:ascii="Times New Roman" w:hAnsi="Times New Roman" w:eastAsia="仿宋_GB2312" w:cs="Times New Roman"/>
          <w:color w:val="auto"/>
          <w:sz w:val="32"/>
          <w:szCs w:val="32"/>
        </w:rPr>
        <w:t>；较2018年度决算数减少</w:t>
      </w:r>
      <w:r>
        <w:rPr>
          <w:rFonts w:hint="eastAsia" w:ascii="Times New Roman" w:hAnsi="Times New Roman" w:eastAsia="仿宋_GB2312" w:cs="Times New Roman"/>
          <w:color w:val="auto"/>
          <w:sz w:val="32"/>
          <w:szCs w:val="32"/>
        </w:rPr>
        <w:t>6000</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rPr>
        <w:t>14.28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，原因是19年没有给退休人员发放住房补贴</w:t>
      </w:r>
      <w:r>
        <w:rPr>
          <w:rFonts w:ascii="Times New Roman" w:hAnsi="Times New Roman" w:eastAsia="仿宋_GB2312" w:cs="Times New Roman"/>
          <w:color w:val="auto"/>
          <w:sz w:val="32"/>
          <w:szCs w:val="32"/>
        </w:rPr>
        <w:t>。</w:t>
      </w:r>
    </w:p>
    <w:p>
      <w:pPr>
        <w:pStyle w:val="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4.资本性支出（基本建设）</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无资本性支出</w:t>
      </w:r>
      <w:r>
        <w:rPr>
          <w:rFonts w:ascii="Times New Roman" w:hAnsi="Times New Roman" w:eastAsia="仿宋_GB2312" w:cs="Times New Roman"/>
          <w:color w:val="auto"/>
          <w:sz w:val="32"/>
          <w:szCs w:val="32"/>
        </w:rPr>
        <w:t>；较2018年度决算数增加（减少）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5.资本性支出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无资本性支出</w:t>
      </w:r>
      <w:r>
        <w:rPr>
          <w:rFonts w:ascii="Times New Roman" w:hAnsi="Times New Roman" w:eastAsia="仿宋_GB2312" w:cs="Times New Roman"/>
          <w:color w:val="auto"/>
          <w:sz w:val="32"/>
          <w:szCs w:val="32"/>
        </w:rPr>
        <w:t>；较2018年度决算数增加（减少）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6.对企业补助（基本建设）</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无对企业补助</w:t>
      </w:r>
      <w:r>
        <w:rPr>
          <w:rFonts w:ascii="Times New Roman" w:hAnsi="Times New Roman" w:eastAsia="仿宋_GB2312" w:cs="Times New Roman"/>
          <w:color w:val="auto"/>
          <w:sz w:val="32"/>
          <w:szCs w:val="32"/>
        </w:rPr>
        <w:t>；较2018年度决算数增加（减少）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7.对企业补助</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无对企业补助</w:t>
      </w:r>
      <w:r>
        <w:rPr>
          <w:rFonts w:ascii="Times New Roman" w:hAnsi="Times New Roman" w:eastAsia="仿宋_GB2312" w:cs="Times New Roman"/>
          <w:color w:val="auto"/>
          <w:sz w:val="32"/>
          <w:szCs w:val="32"/>
        </w:rPr>
        <w:t>；较2018年度决算数增加（减少）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8.其他支出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无</w:t>
      </w:r>
      <w:r>
        <w:rPr>
          <w:rFonts w:ascii="Times New Roman" w:hAnsi="Times New Roman" w:eastAsia="仿宋_GB2312" w:cs="Times New Roman"/>
          <w:color w:val="auto"/>
          <w:sz w:val="32"/>
          <w:szCs w:val="32"/>
        </w:rPr>
        <w:t>；较2018年度决算数增加（减少）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spacing w:line="56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七、一般公共预算财政拨款“三公”经费支出决算情况说明</w:t>
      </w:r>
    </w:p>
    <w:p>
      <w:pPr>
        <w:autoSpaceDE w:val="0"/>
        <w:autoSpaceDN w:val="0"/>
        <w:adjustRightInd w:val="0"/>
        <w:spacing w:line="560" w:lineRule="exact"/>
        <w:ind w:left="477" w:leftChars="227" w:firstLine="154" w:firstLineChars="48"/>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（一）“三公”经费一般公共预算财政拨款支出决算</w:t>
      </w:r>
    </w:p>
    <w:p>
      <w:pPr>
        <w:autoSpaceDE w:val="0"/>
        <w:autoSpaceDN w:val="0"/>
        <w:adjustRightInd w:val="0"/>
        <w:spacing w:line="560" w:lineRule="exact"/>
        <w:ind w:firstLine="151" w:firstLineChars="47"/>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总体情况说明。</w:t>
      </w:r>
      <w:r>
        <w:rPr>
          <w:rFonts w:ascii="Times New Roman" w:hAnsi="Times New Roman" w:eastAsia="仿宋_GB2312" w:cs="Times New Roman"/>
          <w:kern w:val="0"/>
          <w:sz w:val="32"/>
          <w:szCs w:val="32"/>
        </w:rPr>
        <w:t>2019年度“三公”经费一般公共预算财政拨款支出预算为</w:t>
      </w:r>
      <w:r>
        <w:rPr>
          <w:rFonts w:hint="eastAsia" w:ascii="Times New Roman" w:hAnsi="Times New Roman" w:eastAsia="仿宋_GB2312" w:cs="Times New Roman"/>
          <w:kern w:val="0"/>
          <w:sz w:val="32"/>
          <w:szCs w:val="32"/>
        </w:rPr>
        <w:t>1500</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%，2019年度“三公”经费支出决算数小于预算数的主要原因：</w:t>
      </w:r>
      <w:r>
        <w:rPr>
          <w:rFonts w:hint="eastAsia" w:ascii="Times New Roman" w:hAnsi="Times New Roman" w:eastAsia="仿宋_GB2312" w:cs="Times New Roman"/>
          <w:kern w:val="0"/>
          <w:sz w:val="32"/>
          <w:szCs w:val="32"/>
        </w:rPr>
        <w:t>今年没有发生业务招待费</w:t>
      </w:r>
      <w:r>
        <w:rPr>
          <w:rFonts w:ascii="Times New Roman" w:hAnsi="Times New Roman" w:eastAsia="仿宋_GB2312" w:cs="Times New Roman"/>
          <w:kern w:val="0"/>
          <w:sz w:val="32"/>
          <w:szCs w:val="32"/>
        </w:rPr>
        <w:t>。</w:t>
      </w:r>
    </w:p>
    <w:p>
      <w:pPr>
        <w:autoSpaceDE w:val="0"/>
        <w:autoSpaceDN w:val="0"/>
        <w:adjustRightInd w:val="0"/>
        <w:spacing w:line="560" w:lineRule="exact"/>
        <w:ind w:firstLine="656" w:firstLineChars="20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2019年度“三公”经费一般公共预算财政拨款支出决算数比2018年度</w:t>
      </w:r>
      <w:r>
        <w:rPr>
          <w:rFonts w:hint="eastAsia" w:ascii="Times New Roman" w:hAnsi="Times New Roman" w:eastAsia="仿宋_GB2312" w:cs="Times New Roman"/>
          <w:kern w:val="0"/>
          <w:sz w:val="32"/>
          <w:szCs w:val="32"/>
        </w:rPr>
        <w:t>1496元</w:t>
      </w:r>
      <w:r>
        <w:rPr>
          <w:rFonts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rPr>
        <w:t>1496</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%，其中：因公出国（境）费支出决算减少（增加）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元，下降（增长）</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%；公务用车购置及运行费支出决算减少（增加）</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元，下降（增长）</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%；公务接待费支出决算减少</w:t>
      </w:r>
      <w:r>
        <w:rPr>
          <w:rFonts w:hint="eastAsia" w:ascii="Times New Roman" w:hAnsi="Times New Roman" w:eastAsia="仿宋_GB2312" w:cs="Times New Roman"/>
          <w:kern w:val="0"/>
          <w:sz w:val="32"/>
          <w:szCs w:val="32"/>
        </w:rPr>
        <w:t>1496</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%；因公出国（境）费支出减少（增加）的主要原因是</w:t>
      </w:r>
      <w:r>
        <w:rPr>
          <w:rFonts w:hint="eastAsia" w:ascii="Times New Roman" w:hAnsi="Times New Roman" w:eastAsia="仿宋_GB2312" w:cs="Times New Roman"/>
          <w:kern w:val="0"/>
          <w:sz w:val="32"/>
          <w:szCs w:val="32"/>
        </w:rPr>
        <w:t>无因公出国</w:t>
      </w:r>
      <w:r>
        <w:rPr>
          <w:rFonts w:ascii="Times New Roman" w:hAnsi="Times New Roman" w:eastAsia="仿宋_GB2312" w:cs="Times New Roman"/>
          <w:kern w:val="0"/>
          <w:sz w:val="32"/>
          <w:szCs w:val="32"/>
        </w:rPr>
        <w:t>；公务用车购置及运行费支出减少（增加）的主要原因是</w:t>
      </w:r>
      <w:r>
        <w:rPr>
          <w:rFonts w:hint="eastAsia" w:ascii="Times New Roman" w:hAnsi="Times New Roman" w:eastAsia="仿宋_GB2312" w:cs="Times New Roman"/>
          <w:kern w:val="0"/>
          <w:sz w:val="32"/>
          <w:szCs w:val="32"/>
        </w:rPr>
        <w:t>无公务用车购置</w:t>
      </w:r>
      <w:r>
        <w:rPr>
          <w:rFonts w:ascii="Times New Roman" w:hAnsi="Times New Roman" w:eastAsia="仿宋_GB2312" w:cs="Times New Roman"/>
          <w:kern w:val="0"/>
          <w:sz w:val="32"/>
          <w:szCs w:val="32"/>
        </w:rPr>
        <w:t>；公务接待费支出减少的主要原因是</w:t>
      </w:r>
      <w:r>
        <w:rPr>
          <w:rFonts w:hint="eastAsia" w:ascii="Times New Roman" w:hAnsi="Times New Roman" w:eastAsia="仿宋_GB2312" w:cs="Times New Roman"/>
          <w:kern w:val="0"/>
          <w:sz w:val="32"/>
          <w:szCs w:val="32"/>
        </w:rPr>
        <w:t>今年没有发生业务招待费</w:t>
      </w:r>
      <w:r>
        <w:rPr>
          <w:rFonts w:ascii="Times New Roman" w:hAnsi="Times New Roman" w:eastAsia="仿宋_GB2312" w:cs="Times New Roman"/>
          <w:kern w:val="0"/>
          <w:sz w:val="32"/>
          <w:szCs w:val="32"/>
        </w:rPr>
        <w:t>。</w:t>
      </w:r>
    </w:p>
    <w:p>
      <w:pPr>
        <w:pStyle w:val="8"/>
        <w:spacing w:line="56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（二）“三公”经费一般公共预算财政拨款支出决算具体情况说明。</w:t>
      </w:r>
      <w:r>
        <w:rPr>
          <w:rFonts w:ascii="Times New Roman" w:hAnsi="Times New Roman" w:eastAsia="仿宋_GB2312" w:cs="Times New Roman"/>
          <w:color w:val="auto"/>
          <w:sz w:val="32"/>
          <w:szCs w:val="32"/>
        </w:rPr>
        <w:t>2019年度“三公”经费一般公共预算财政拨款支出决算中，因公出国（境）费支出决算</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%；公务用车购置及运行费支出决</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%。具体情况如下：</w:t>
      </w:r>
    </w:p>
    <w:p>
      <w:pPr>
        <w:pStyle w:val="8"/>
        <w:spacing w:line="560" w:lineRule="exact"/>
        <w:ind w:firstLine="630" w:firstLineChars="196"/>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1.因公出国（境）费</w:t>
      </w:r>
      <w:r>
        <w:rPr>
          <w:rFonts w:ascii="Times New Roman" w:hAnsi="Times New Roman" w:eastAsia="仿宋_GB2312" w:cs="Times New Roman"/>
          <w:bCs/>
          <w:color w:val="auto"/>
          <w:sz w:val="32"/>
          <w:szCs w:val="32"/>
        </w:rPr>
        <w:t>预算为</w:t>
      </w:r>
      <w:r>
        <w:rPr>
          <w:rFonts w:hint="eastAsia" w:ascii="Times New Roman" w:hAnsi="Times New Roman" w:eastAsia="仿宋_GB2312" w:cs="Times New Roman"/>
          <w:bCs/>
          <w:color w:val="auto"/>
          <w:sz w:val="32"/>
          <w:szCs w:val="32"/>
        </w:rPr>
        <w:t>0</w:t>
      </w:r>
      <w:r>
        <w:rPr>
          <w:rFonts w:ascii="Times New Roman" w:hAnsi="Times New Roman" w:eastAsia="仿宋_GB2312" w:cs="Times New Roman"/>
          <w:bCs/>
          <w:color w:val="auto"/>
          <w:sz w:val="32"/>
          <w:szCs w:val="32"/>
        </w:rPr>
        <w:t>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2019年度因公出国（境）团组数</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个，因公出国（境）人次数</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人次。</w:t>
      </w:r>
      <w:r>
        <w:rPr>
          <w:rFonts w:hint="eastAsia" w:ascii="仿宋_GB2312" w:hAnsi="仿宋_GB2312" w:eastAsia="仿宋_GB2312" w:cs="仿宋_GB2312"/>
          <w:color w:val="auto"/>
          <w:sz w:val="32"/>
          <w:szCs w:val="32"/>
        </w:rPr>
        <w:t>我单位无因公出国（境） 活动</w:t>
      </w:r>
      <w:r>
        <w:rPr>
          <w:rFonts w:ascii="Times New Roman" w:hAnsi="Times New Roman" w:eastAsia="仿宋_GB2312" w:cs="Times New Roman"/>
          <w:color w:val="auto"/>
          <w:sz w:val="32"/>
          <w:szCs w:val="32"/>
        </w:rPr>
        <w:t xml:space="preserve">。 </w:t>
      </w:r>
    </w:p>
    <w:p>
      <w:pPr>
        <w:autoSpaceDE w:val="0"/>
        <w:autoSpaceDN w:val="0"/>
        <w:adjustRightInd w:val="0"/>
        <w:spacing w:line="560" w:lineRule="exact"/>
        <w:ind w:firstLine="630" w:firstLineChars="196"/>
        <w:jc w:val="left"/>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b/>
          <w:kern w:val="0"/>
          <w:sz w:val="32"/>
          <w:szCs w:val="32"/>
        </w:rPr>
        <w:t>2.公务用车购置及运行维护费</w:t>
      </w:r>
      <w:r>
        <w:rPr>
          <w:rFonts w:ascii="Times New Roman" w:hAnsi="Times New Roman" w:eastAsia="仿宋_GB2312" w:cs="Times New Roman"/>
          <w:kern w:val="0"/>
          <w:sz w:val="32"/>
          <w:szCs w:val="32"/>
        </w:rPr>
        <w:t>预算为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r>
        <w:rPr>
          <w:rFonts w:ascii="Times New Roman" w:hAnsi="Times New Roman" w:eastAsia="仿宋_GB2312" w:cs="Times New Roman"/>
          <w:b/>
          <w:kern w:val="0"/>
          <w:sz w:val="32"/>
          <w:szCs w:val="32"/>
        </w:rPr>
        <w:t>。</w:t>
      </w:r>
      <w:r>
        <w:rPr>
          <w:rFonts w:ascii="Times New Roman" w:hAnsi="Times New Roman" w:eastAsia="仿宋_GB2312" w:cs="Times New Roman"/>
          <w:kern w:val="0"/>
          <w:sz w:val="32"/>
          <w:szCs w:val="32"/>
        </w:rPr>
        <w:t>其中：公务用车购置费支出为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元，公务用车运行维护费支出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元。2019年度一般公共预算财政拨款开支的公务用车购置数</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辆，公务用车保有量为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w:t>
      </w:r>
      <w:r>
        <w:rPr>
          <w:rFonts w:hint="eastAsia" w:ascii="仿宋_GB2312" w:hAnsi="仿宋_GB2312" w:eastAsia="仿宋_GB2312" w:cs="仿宋_GB2312"/>
          <w:kern w:val="0"/>
          <w:sz w:val="32"/>
          <w:szCs w:val="32"/>
        </w:rPr>
        <w:t>我单位无公务用车，单位车辆为业务用车，本年也无车辆购置</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30"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3.公务接待费</w:t>
      </w:r>
      <w:r>
        <w:rPr>
          <w:rFonts w:ascii="Times New Roman" w:hAnsi="Times New Roman" w:eastAsia="仿宋_GB2312" w:cs="Times New Roman"/>
          <w:bCs/>
          <w:kern w:val="0"/>
          <w:sz w:val="32"/>
          <w:szCs w:val="32"/>
        </w:rPr>
        <w:t>预算为</w:t>
      </w:r>
      <w:r>
        <w:rPr>
          <w:rFonts w:hint="eastAsia" w:ascii="Times New Roman" w:hAnsi="Times New Roman" w:eastAsia="仿宋_GB2312" w:cs="Times New Roman"/>
          <w:bCs/>
          <w:kern w:val="0"/>
          <w:sz w:val="32"/>
          <w:szCs w:val="32"/>
        </w:rPr>
        <w:t>1500</w:t>
      </w:r>
      <w:r>
        <w:rPr>
          <w:rFonts w:ascii="Times New Roman" w:hAnsi="Times New Roman" w:eastAsia="仿宋_GB2312" w:cs="Times New Roman"/>
          <w:bCs/>
          <w:kern w:val="0"/>
          <w:sz w:val="32"/>
          <w:szCs w:val="32"/>
        </w:rPr>
        <w:t>元，</w:t>
      </w:r>
      <w:r>
        <w:rPr>
          <w:rFonts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%。其中： 国内接待费支出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元。国（境）外接待费支出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元。2019年度国内公务接待批次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个，国内公务接待人次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人，国（境）外公务接待批次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个，国（境）外公务接待人次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人。</w:t>
      </w:r>
    </w:p>
    <w:p>
      <w:pPr>
        <w:spacing w:line="56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八、政府性基金预算财政拨款收入支出决算情况说明</w:t>
      </w:r>
    </w:p>
    <w:p>
      <w:pPr>
        <w:pStyle w:val="8"/>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2019年度政府性基金预算财政拨款本年收入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元。较2018年度决算数增加（减少）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本单位无</w:t>
      </w:r>
      <w:r>
        <w:rPr>
          <w:rFonts w:ascii="Times New Roman" w:hAnsi="Times New Roman" w:eastAsia="仿宋_GB2312" w:cs="Times New Roman"/>
          <w:color w:val="auto"/>
          <w:sz w:val="32"/>
          <w:szCs w:val="32"/>
        </w:rPr>
        <w:t>政府性基金预算财政拨款</w:t>
      </w:r>
      <w:r>
        <w:rPr>
          <w:rFonts w:hint="eastAsia" w:ascii="Times New Roman" w:hAnsi="Times New Roman" w:eastAsia="仿宋_GB2312" w:cs="Times New Roman"/>
          <w:color w:val="auto"/>
          <w:sz w:val="32"/>
          <w:szCs w:val="32"/>
        </w:rPr>
        <w:t>收入和支出</w:t>
      </w:r>
      <w:r>
        <w:rPr>
          <w:rFonts w:ascii="Times New Roman" w:hAnsi="Times New Roman" w:eastAsia="仿宋_GB2312" w:cs="Times New Roman"/>
          <w:color w:val="auto"/>
          <w:sz w:val="32"/>
          <w:szCs w:val="32"/>
        </w:rPr>
        <w:t xml:space="preserve">。 </w:t>
      </w:r>
    </w:p>
    <w:p>
      <w:pPr>
        <w:pStyle w:val="2"/>
        <w:spacing w:line="560" w:lineRule="exact"/>
        <w:rPr>
          <w:rFonts w:ascii="Times New Roman" w:hAnsi="Times New Roman" w:cs="Times New Roman"/>
        </w:rPr>
      </w:pPr>
      <w:r>
        <w:rPr>
          <w:rFonts w:ascii="Times New Roman" w:hAnsi="Times New Roman" w:cs="Times New Roman"/>
        </w:rPr>
        <w:t>九、其他重要事项的情况说明</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（一）机关运行经费支出情况说明（备注：此数据与部门决算中行政单位和参照公务员法管理事业单位一般公共预算财政拨款基本支出中公用经费之和保持一致）</w:t>
      </w:r>
    </w:p>
    <w:p>
      <w:pPr>
        <w:spacing w:line="560" w:lineRule="exact"/>
        <w:ind w:firstLine="640" w:firstLineChars="200"/>
        <w:outlineLvl w:val="1"/>
        <w:rPr>
          <w:rFonts w:ascii="Times New Roman" w:hAnsi="Times New Roman" w:eastAsia="仿宋_GB2312" w:cs="Times New Roman"/>
          <w:kern w:val="0"/>
          <w:sz w:val="32"/>
          <w:szCs w:val="32"/>
        </w:rPr>
      </w:pPr>
      <w:r>
        <w:rPr>
          <w:rFonts w:hint="eastAsia" w:eastAsia="仿宋_GB2312"/>
          <w:kern w:val="0"/>
          <w:sz w:val="32"/>
          <w:szCs w:val="32"/>
        </w:rPr>
        <w:t>本单位无机关运行经费</w:t>
      </w:r>
      <w:r>
        <w:rPr>
          <w:rFonts w:ascii="Times New Roman" w:hAnsi="Times New Roman" w:eastAsia="仿宋_GB2312" w:cs="Times New Roman"/>
          <w:kern w:val="0"/>
          <w:sz w:val="32"/>
          <w:szCs w:val="32"/>
        </w:rPr>
        <w:t xml:space="preserve">。 </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（二）政府采购情况说明</w:t>
      </w:r>
    </w:p>
    <w:p>
      <w:pPr>
        <w:widowControl/>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2019年度本部门政府采购支出总额</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元。其中：政府采购货物支出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元、政府采购工程支出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元、政府采购服务</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元。授予中小企业合同金额</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元，占政府采购支出总额的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p>
    <w:p>
      <w:pPr>
        <w:widowControl/>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kern w:val="0"/>
          <w:sz w:val="32"/>
          <w:szCs w:val="32"/>
        </w:rPr>
        <w:t>本单位今年无政府采购</w:t>
      </w:r>
      <w:r>
        <w:rPr>
          <w:rFonts w:hint="eastAsia" w:ascii="仿宋_GB2312" w:hAnsi="仿宋_GB2312" w:eastAsia="仿宋_GB2312" w:cs="仿宋_GB2312"/>
          <w:kern w:val="0"/>
          <w:sz w:val="32"/>
          <w:szCs w:val="32"/>
          <w:lang w:eastAsia="zh-CN"/>
        </w:rPr>
        <w:t>。</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（三）国有资产占有使用情况说明</w:t>
      </w:r>
    </w:p>
    <w:p>
      <w:pPr>
        <w:widowControl/>
        <w:spacing w:line="560" w:lineRule="exact"/>
        <w:ind w:firstLine="48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截至2019年12月31日，本部门房屋面积</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平方米，共有车辆</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辆，其中：领导干部用车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辆、一般公务用车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rPr>
        <w:t>、</w:t>
      </w:r>
      <w:r>
        <w:rPr>
          <w:rFonts w:hint="eastAsia" w:ascii="仿宋_GB2312" w:hAnsi="仿宋_GB2312" w:eastAsia="仿宋_GB2312" w:cs="仿宋_GB2312"/>
          <w:kern w:val="0"/>
          <w:sz w:val="32"/>
          <w:szCs w:val="32"/>
        </w:rPr>
        <w:t>单位业务用车1辆</w:t>
      </w:r>
      <w:r>
        <w:rPr>
          <w:rFonts w:ascii="Times New Roman" w:hAnsi="Times New Roman" w:eastAsia="仿宋_GB2312" w:cs="Times New Roman"/>
          <w:kern w:val="0"/>
          <w:sz w:val="32"/>
          <w:szCs w:val="32"/>
        </w:rPr>
        <w:t>；单价50万元以上通用设备</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台（套），单价100万元以上专用设备</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台（套）。</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（四）预算绩效管理工作开展情况说明</w:t>
      </w:r>
    </w:p>
    <w:p>
      <w:pPr>
        <w:spacing w:line="56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 xml:space="preserve">1.绩效管理工作开展情况。 </w:t>
      </w:r>
      <w:r>
        <w:rPr>
          <w:rFonts w:ascii="Times New Roman" w:hAnsi="Times New Roman" w:eastAsia="仿宋_GB2312" w:cs="Times New Roman"/>
          <w:kern w:val="0"/>
          <w:sz w:val="32"/>
          <w:szCs w:val="32"/>
        </w:rPr>
        <w:t>根据预算绩效管理要求，</w:t>
      </w:r>
      <w:r>
        <w:rPr>
          <w:rFonts w:hint="eastAsia" w:ascii="Times New Roman" w:hAnsi="Times New Roman" w:eastAsia="仿宋_GB2312" w:cs="Times New Roman"/>
          <w:kern w:val="0"/>
          <w:sz w:val="32"/>
          <w:szCs w:val="32"/>
        </w:rPr>
        <w:t>无单位</w:t>
      </w:r>
      <w:r>
        <w:rPr>
          <w:rFonts w:ascii="Times New Roman" w:hAnsi="Times New Roman" w:eastAsia="仿宋_GB2312" w:cs="Times New Roman"/>
          <w:kern w:val="0"/>
          <w:sz w:val="32"/>
          <w:szCs w:val="32"/>
        </w:rPr>
        <w:t>组织对2019年度一般公共预算项目支出全面开展绩效自评。其中，一级项目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个，二级项目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个，共涉及预算资金</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万元，自评覆盖率达到</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我单位19年没有</w:t>
      </w:r>
      <w:r>
        <w:rPr>
          <w:rFonts w:ascii="Times New Roman" w:hAnsi="Times New Roman" w:eastAsia="仿宋_GB2312" w:cs="Times New Roman"/>
          <w:kern w:val="0"/>
          <w:sz w:val="32"/>
          <w:szCs w:val="32"/>
        </w:rPr>
        <w:t>一般公共预算项目支出</w:t>
      </w:r>
      <w:r>
        <w:rPr>
          <w:rFonts w:hint="eastAsia" w:ascii="Times New Roman" w:hAnsi="Times New Roman" w:eastAsia="仿宋_GB2312" w:cs="Times New Roman"/>
          <w:kern w:val="0"/>
          <w:sz w:val="32"/>
          <w:szCs w:val="32"/>
        </w:rPr>
        <w:t>。</w:t>
      </w:r>
    </w:p>
    <w:p>
      <w:pPr>
        <w:spacing w:line="560" w:lineRule="exact"/>
        <w:ind w:firstLine="643"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2.部门决算中项目绩效自评结果。</w:t>
      </w:r>
      <w:r>
        <w:rPr>
          <w:rFonts w:hint="eastAsia" w:ascii="Times New Roman" w:hAnsi="Times New Roman" w:eastAsia="仿宋_GB2312" w:cs="Times New Roman"/>
          <w:kern w:val="0"/>
          <w:sz w:val="32"/>
          <w:szCs w:val="32"/>
        </w:rPr>
        <w:t>我单位</w:t>
      </w:r>
      <w:r>
        <w:rPr>
          <w:rFonts w:ascii="Times New Roman" w:hAnsi="Times New Roman" w:eastAsia="仿宋_GB2312" w:cs="Times New Roman"/>
          <w:kern w:val="0"/>
          <w:sz w:val="32"/>
          <w:szCs w:val="32"/>
        </w:rPr>
        <w:t>今年在部门决算中</w:t>
      </w:r>
      <w:r>
        <w:rPr>
          <w:rFonts w:hint="eastAsia" w:ascii="Times New Roman" w:hAnsi="Times New Roman" w:eastAsia="仿宋_GB2312" w:cs="Times New Roman"/>
          <w:kern w:val="0"/>
          <w:sz w:val="32"/>
          <w:szCs w:val="32"/>
        </w:rPr>
        <w:t>未</w:t>
      </w:r>
      <w:r>
        <w:rPr>
          <w:rFonts w:ascii="Times New Roman" w:hAnsi="Times New Roman" w:eastAsia="仿宋_GB2312" w:cs="Times New Roman"/>
          <w:kern w:val="0"/>
          <w:sz w:val="32"/>
          <w:szCs w:val="32"/>
        </w:rPr>
        <w:t>增加项目绩效评价结果。根据年初设定的绩效目标，</w:t>
      </w:r>
      <w:r>
        <w:rPr>
          <w:rFonts w:hint="eastAsia" w:ascii="Times New Roman" w:hAnsi="Times New Roman" w:eastAsia="仿宋_GB2312" w:cs="Times New Roman"/>
          <w:kern w:val="0"/>
          <w:sz w:val="32"/>
          <w:szCs w:val="32"/>
        </w:rPr>
        <w:t>无</w:t>
      </w:r>
      <w:r>
        <w:rPr>
          <w:rFonts w:ascii="Times New Roman" w:hAnsi="Times New Roman" w:eastAsia="仿宋_GB2312" w:cs="Times New Roman"/>
          <w:kern w:val="0"/>
          <w:sz w:val="32"/>
          <w:szCs w:val="32"/>
        </w:rPr>
        <w:t>项目自评得分。发现的主要问题：部门预算编制不够全面。下一步改进措施：一是加大部门收入预算编制的完整性。二是规范单位财务管理，严格财经制度，规范财务管理，提高管理水平</w:t>
      </w:r>
      <w:r>
        <w:rPr>
          <w:rFonts w:hint="eastAsia" w:ascii="Times New Roman" w:hAnsi="Times New Roman" w:eastAsia="仿宋_GB2312" w:cs="Times New Roman"/>
          <w:kern w:val="0"/>
          <w:sz w:val="32"/>
          <w:szCs w:val="32"/>
        </w:rPr>
        <w:t>。</w:t>
      </w:r>
    </w:p>
    <w:p>
      <w:pPr>
        <w:spacing w:line="560" w:lineRule="exact"/>
        <w:ind w:firstLine="643" w:firstLineChars="200"/>
        <w:outlineLvl w:val="1"/>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3.以财政厅为主体开展的重点项目绩效评价结果。</w:t>
      </w:r>
    </w:p>
    <w:p>
      <w:pPr>
        <w:spacing w:line="560" w:lineRule="exact"/>
        <w:ind w:firstLine="640" w:firstLineChars="200"/>
        <w:outlineLvl w:val="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r>
        <w:rPr>
          <w:rFonts w:ascii="Times New Roman" w:hAnsi="Times New Roman" w:eastAsia="仿宋_GB2312" w:cs="Times New Roman"/>
          <w:kern w:val="0"/>
          <w:sz w:val="32"/>
          <w:szCs w:val="32"/>
        </w:rPr>
        <w:t>财政厅为主体开展的重点项目绩效评价</w:t>
      </w:r>
      <w:r>
        <w:rPr>
          <w:rFonts w:hint="eastAsia" w:ascii="Times New Roman" w:hAnsi="Times New Roman" w:eastAsia="仿宋_GB2312" w:cs="Times New Roman"/>
          <w:kern w:val="0"/>
          <w:sz w:val="32"/>
          <w:szCs w:val="32"/>
        </w:rPr>
        <w:t>。</w:t>
      </w:r>
    </w:p>
    <w:p>
      <w:pPr>
        <w:spacing w:line="560" w:lineRule="exact"/>
        <w:ind w:firstLine="643" w:firstLineChars="200"/>
        <w:outlineLvl w:val="1"/>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4.以部门为主体开展的重点项目绩效评价结果。</w:t>
      </w:r>
    </w:p>
    <w:p>
      <w:pPr>
        <w:spacing w:line="560" w:lineRule="exact"/>
        <w:ind w:firstLine="640" w:firstLineChars="200"/>
        <w:outlineLvl w:val="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r>
        <w:rPr>
          <w:rFonts w:ascii="Times New Roman" w:hAnsi="Times New Roman" w:eastAsia="仿宋_GB2312" w:cs="Times New Roman"/>
          <w:kern w:val="0"/>
          <w:sz w:val="32"/>
          <w:szCs w:val="32"/>
        </w:rPr>
        <w:t>以部门为主体开展的重点项目绩效评价</w:t>
      </w:r>
      <w:r>
        <w:rPr>
          <w:rFonts w:hint="eastAsia" w:ascii="Times New Roman" w:hAnsi="Times New Roman" w:eastAsia="仿宋_GB2312" w:cs="Times New Roman"/>
          <w:kern w:val="0"/>
          <w:sz w:val="32"/>
          <w:szCs w:val="32"/>
        </w:rPr>
        <w:t>。</w:t>
      </w:r>
    </w:p>
    <w:p>
      <w:pPr>
        <w:spacing w:beforeLines="50" w:line="56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第四部分  名词解释</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1、政府收支分类科目：现行政府收支分类科目体系包括收入分类、支出功能分类和支出经济分类三部分。</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2、本年收入指单位本年度取得的全部收入。</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3、本年支出指单位本年度全部支出。</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4、基本支出指单位为保障机构正常运转、完成日常工作任务而发生的各项支出。</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5、项目支出指单位为完成特定的行政工作任务或事业发展目标，在基本支出之外发生的各项支出。   </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6、“三公”经费指用财政性资金安排的因公出国（境）费、公务用车购置及运行维护费、公务接待费。</w:t>
      </w:r>
    </w:p>
    <w:p>
      <w:pPr>
        <w:spacing w:beforeLines="50" w:line="56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第五部分    附件</w:t>
      </w:r>
    </w:p>
    <w:p>
      <w:pPr>
        <w:spacing w:beforeLines="50" w:line="560" w:lineRule="exact"/>
        <w:ind w:firstLine="156" w:firstLineChars="49"/>
        <w:outlineLvl w:val="1"/>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无</w:t>
      </w:r>
    </w:p>
    <w:p>
      <w:pPr>
        <w:spacing w:beforeLines="50" w:line="560" w:lineRule="exact"/>
        <w:ind w:firstLine="156" w:firstLineChars="49"/>
        <w:outlineLvl w:val="1"/>
        <w:rPr>
          <w:rFonts w:ascii="Times New Roman" w:hAnsi="Times New Roman" w:eastAsia="仿宋_GB2312" w:cs="Times New Roman"/>
          <w:kern w:val="0"/>
          <w:sz w:val="32"/>
          <w:szCs w:val="32"/>
        </w:rPr>
      </w:pPr>
    </w:p>
    <w:sectPr>
      <w:footerReference r:id="rId3" w:type="default"/>
      <w:footerReference r:id="rId4" w:type="even"/>
      <w:pgSz w:w="11906" w:h="16838"/>
      <w:pgMar w:top="2098" w:right="1474" w:bottom="198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dit="readOnly" w:enforcement="0"/>
  <w:defaultTabStop w:val="420"/>
  <w:drawingGridHorizontalSpacing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0DB"/>
    <w:rsid w:val="000022A6"/>
    <w:rsid w:val="00003A35"/>
    <w:rsid w:val="00004259"/>
    <w:rsid w:val="00020496"/>
    <w:rsid w:val="0004624F"/>
    <w:rsid w:val="00052076"/>
    <w:rsid w:val="00070708"/>
    <w:rsid w:val="00070B0B"/>
    <w:rsid w:val="00072C60"/>
    <w:rsid w:val="00082E18"/>
    <w:rsid w:val="000B677A"/>
    <w:rsid w:val="000E2DEA"/>
    <w:rsid w:val="00105F1C"/>
    <w:rsid w:val="00122A76"/>
    <w:rsid w:val="00176CC4"/>
    <w:rsid w:val="001E6C4B"/>
    <w:rsid w:val="00240BF9"/>
    <w:rsid w:val="00262F1D"/>
    <w:rsid w:val="002960DB"/>
    <w:rsid w:val="002C21F1"/>
    <w:rsid w:val="002C23CD"/>
    <w:rsid w:val="002C4C09"/>
    <w:rsid w:val="002F31F8"/>
    <w:rsid w:val="00314C3D"/>
    <w:rsid w:val="003842F0"/>
    <w:rsid w:val="003D1E88"/>
    <w:rsid w:val="003D67A4"/>
    <w:rsid w:val="003E729F"/>
    <w:rsid w:val="003F1195"/>
    <w:rsid w:val="004074BF"/>
    <w:rsid w:val="0040765E"/>
    <w:rsid w:val="0041182A"/>
    <w:rsid w:val="00425F63"/>
    <w:rsid w:val="00436CD9"/>
    <w:rsid w:val="004A4A9B"/>
    <w:rsid w:val="0053552D"/>
    <w:rsid w:val="00554153"/>
    <w:rsid w:val="00566804"/>
    <w:rsid w:val="00585BCF"/>
    <w:rsid w:val="00587C96"/>
    <w:rsid w:val="00590392"/>
    <w:rsid w:val="005E1588"/>
    <w:rsid w:val="005F6DCB"/>
    <w:rsid w:val="0062790A"/>
    <w:rsid w:val="00653DA4"/>
    <w:rsid w:val="00682764"/>
    <w:rsid w:val="00684357"/>
    <w:rsid w:val="00695B44"/>
    <w:rsid w:val="006A6AAA"/>
    <w:rsid w:val="00701697"/>
    <w:rsid w:val="007473C3"/>
    <w:rsid w:val="007A32F8"/>
    <w:rsid w:val="007E707A"/>
    <w:rsid w:val="007F32A9"/>
    <w:rsid w:val="008517D9"/>
    <w:rsid w:val="00951F13"/>
    <w:rsid w:val="009A09A9"/>
    <w:rsid w:val="009C2A95"/>
    <w:rsid w:val="009D5B3E"/>
    <w:rsid w:val="009E6D6D"/>
    <w:rsid w:val="009E7404"/>
    <w:rsid w:val="00A45B52"/>
    <w:rsid w:val="00A52633"/>
    <w:rsid w:val="00A526C4"/>
    <w:rsid w:val="00A77D96"/>
    <w:rsid w:val="00AB2E2D"/>
    <w:rsid w:val="00AF2D99"/>
    <w:rsid w:val="00B55773"/>
    <w:rsid w:val="00B92A4E"/>
    <w:rsid w:val="00C23A80"/>
    <w:rsid w:val="00C849FC"/>
    <w:rsid w:val="00CE4170"/>
    <w:rsid w:val="00D32C7F"/>
    <w:rsid w:val="00D339D8"/>
    <w:rsid w:val="00D96C10"/>
    <w:rsid w:val="00DC6426"/>
    <w:rsid w:val="00E64B00"/>
    <w:rsid w:val="00E759B9"/>
    <w:rsid w:val="00EC2E47"/>
    <w:rsid w:val="00EE2C0C"/>
    <w:rsid w:val="00F14348"/>
    <w:rsid w:val="00F4133F"/>
    <w:rsid w:val="00F64464"/>
    <w:rsid w:val="00F90E25"/>
    <w:rsid w:val="00FB5979"/>
    <w:rsid w:val="09CB72C2"/>
    <w:rsid w:val="674963A7"/>
    <w:rsid w:val="750D15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
    <w:name w:val="页眉 Char"/>
    <w:basedOn w:val="6"/>
    <w:link w:val="4"/>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92F57-7DF1-4139-A1D0-0D312A0ED6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2060</Words>
  <Characters>11747</Characters>
  <Lines>97</Lines>
  <Paragraphs>27</Paragraphs>
  <TotalTime>8</TotalTime>
  <ScaleCrop>false</ScaleCrop>
  <LinksUpToDate>false</LinksUpToDate>
  <CharactersWithSpaces>13780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2020-11-05T03:25:00Z</dcterms:created>
  <dc:creator>李海英</dc:creator>
  <cp:lastModifiedBy>一瞬花开</cp:lastModifiedBy>
  <cp:lastPrinted>2020-07-16T01:06:00Z</cp:lastPrinted>
  <dcterms:modified xsi:type="dcterms:W3CDTF">2020-11-05T03:43:17Z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