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沙坡头区2020年产业扶贫技术帮扶</w:t>
      </w:r>
    </w:p>
    <w:p>
      <w:pPr>
        <w:spacing w:line="580" w:lineRule="exact"/>
        <w:jc w:val="center"/>
        <w:rPr>
          <w:rFonts w:hint="eastAsia"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工作方案</w:t>
      </w:r>
    </w:p>
    <w:bookmarkEnd w:id="0"/>
    <w:p>
      <w:pPr>
        <w:pStyle w:val="2"/>
        <w:spacing w:line="580" w:lineRule="exact"/>
        <w:rPr>
          <w:rFonts w:hint="eastAsia" w:ascii="仿宋_GB2312" w:hAnsi="仿宋_GB2312" w:eastAsia="仿宋_GB2312" w:cs="仿宋_GB2312"/>
          <w:sz w:val="32"/>
          <w:szCs w:val="32"/>
        </w:rPr>
      </w:pPr>
    </w:p>
    <w:p>
      <w:pPr>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为深入贯彻落实自治区、中卫市、沙坡头区关于农业产业发展和精准扶贫、精准脱贫的战略部署，以打赢脱贫攻坚战为主线 ，以农业增效、农民增收为核心，充分发挥农业科技在产业扶贫中的助推作用，做强主导产业，做优特色产业，做好产业扶贫技术帮扶工作，现结合我区实际，特制定本方案。</w:t>
      </w:r>
    </w:p>
    <w:p>
      <w:pPr>
        <w:spacing w:line="580" w:lineRule="exact"/>
        <w:ind w:firstLine="72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一、总体目标</w:t>
      </w:r>
    </w:p>
    <w:p>
      <w:pPr>
        <w:spacing w:line="58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建立农技服务精准到户机制，解决贫困村产业扶贫工作中科技支撑和人才保障不足的问题，增强基层农技推广服务供给能力，实现27个重点贫困村技术服务全覆盖，组成产业扶贫技术服务组4个，重点开展农业技能培训、技术指导、产业发展服务等，激发贫困户脱贫致富的内在活力，分类别、分产业、分层次组织农业实用技术培训500人次以上（每个技术服务组培训125人次以上），让贫困户掌握1-2门实用技术，增强脱贫致富能力。</w:t>
      </w:r>
    </w:p>
    <w:p>
      <w:pPr>
        <w:spacing w:line="580" w:lineRule="exact"/>
        <w:ind w:firstLine="72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二、技术帮扶内容</w:t>
      </w:r>
    </w:p>
    <w:p>
      <w:pPr>
        <w:pStyle w:val="2"/>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抽选各领域专业技术人才，分产业、分类别建立技术服务组，主要开展硒砂瓜、苹果和枸杞种植以及牛羊养殖先进实用技术培训，每个产业建设1个技术扶贫示范点。</w:t>
      </w:r>
    </w:p>
    <w:p>
      <w:pPr>
        <w:pStyle w:val="2"/>
        <w:spacing w:line="580" w:lineRule="exact"/>
        <w:ind w:firstLine="643" w:firstLineChars="200"/>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（一）硒砂瓜产业</w:t>
      </w:r>
    </w:p>
    <w:p>
      <w:pPr>
        <w:pStyle w:val="2"/>
        <w:spacing w:line="580" w:lineRule="exact"/>
        <w:ind w:firstLine="643" w:firstLineChars="200"/>
        <w:rPr>
          <w:rFonts w:hint="eastAsia" w:ascii="仿宋_GB2312" w:eastAsia="仿宋_GB2312"/>
          <w:sz w:val="32"/>
          <w:szCs w:val="32"/>
        </w:rPr>
      </w:pPr>
      <w:r>
        <w:rPr>
          <w:rFonts w:hint="eastAsia" w:ascii="仿宋_GB2312" w:hAnsi="宋体" w:eastAsia="仿宋_GB2312" w:cs="宋体"/>
          <w:b/>
          <w:bCs/>
          <w:color w:val="000000"/>
          <w:kern w:val="0"/>
          <w:sz w:val="32"/>
          <w:szCs w:val="32"/>
        </w:rPr>
        <w:t>主推品种：</w:t>
      </w:r>
      <w:r>
        <w:rPr>
          <w:rFonts w:hint="eastAsia" w:ascii="仿宋_GB2312" w:eastAsia="仿宋_GB2312"/>
          <w:sz w:val="32"/>
          <w:szCs w:val="32"/>
        </w:rPr>
        <w:t>金城5号</w:t>
      </w:r>
    </w:p>
    <w:p>
      <w:pPr>
        <w:widowControl/>
        <w:shd w:val="clear" w:color="auto" w:fill="FFFFFF"/>
        <w:spacing w:line="580" w:lineRule="exact"/>
        <w:ind w:firstLine="643" w:firstLineChars="200"/>
        <w:jc w:val="left"/>
        <w:rPr>
          <w:rFonts w:hint="eastAsia" w:ascii="仿宋_GB2312" w:hAnsi="宋体" w:eastAsia="仿宋_GB2312" w:cs="宋体"/>
          <w:b/>
          <w:bCs/>
          <w:color w:val="000000"/>
          <w:kern w:val="0"/>
          <w:sz w:val="32"/>
          <w:szCs w:val="32"/>
        </w:rPr>
      </w:pPr>
      <w:r>
        <w:rPr>
          <w:rFonts w:hint="eastAsia" w:ascii="仿宋_GB2312" w:eastAsia="仿宋_GB2312"/>
          <w:b/>
          <w:bCs/>
          <w:sz w:val="32"/>
          <w:szCs w:val="32"/>
        </w:rPr>
        <w:t>主推区域：</w:t>
      </w:r>
      <w:r>
        <w:rPr>
          <w:rFonts w:hint="eastAsia" w:ascii="仿宋_GB2312" w:eastAsia="仿宋_GB2312"/>
          <w:sz w:val="32"/>
          <w:szCs w:val="32"/>
        </w:rPr>
        <w:t>香山乡、兴仁镇，常乐镇、永康镇山区各贫困村。</w:t>
      </w:r>
    </w:p>
    <w:p>
      <w:pPr>
        <w:widowControl/>
        <w:spacing w:line="580" w:lineRule="exact"/>
        <w:ind w:firstLine="643" w:firstLineChars="200"/>
        <w:jc w:val="left"/>
        <w:rPr>
          <w:rFonts w:hint="eastAsia" w:hAnsi="仿宋_GB2312" w:eastAsia="仿宋_GB2312"/>
          <w:color w:val="000000"/>
          <w:sz w:val="32"/>
          <w:szCs w:val="32"/>
        </w:rPr>
      </w:pPr>
      <w:r>
        <w:rPr>
          <w:rFonts w:hint="eastAsia" w:ascii="仿宋_GB2312" w:hAnsi="宋体" w:eastAsia="仿宋_GB2312" w:cs="宋体"/>
          <w:b/>
          <w:bCs/>
          <w:color w:val="000000"/>
          <w:kern w:val="0"/>
          <w:sz w:val="32"/>
          <w:szCs w:val="32"/>
        </w:rPr>
        <w:t>主要帮扶技术：（1）苗期管理。</w:t>
      </w:r>
      <w:r>
        <w:rPr>
          <w:rFonts w:hint="eastAsia" w:hAnsi="仿宋_GB2312" w:eastAsia="仿宋_GB2312"/>
          <w:color w:val="000000"/>
          <w:sz w:val="32"/>
          <w:szCs w:val="32"/>
        </w:rPr>
        <w:t>根据天气情况及时破膜，通风炼苗，防止晚霜冻害、瓜苗徒长与烧苗，并对个别缺苗现象，及时催芽补种或移栽种苗。</w:t>
      </w:r>
      <w:r>
        <w:rPr>
          <w:rFonts w:hAnsi="仿宋_GB2312" w:eastAsia="仿宋_GB2312"/>
          <w:color w:val="000000"/>
          <w:sz w:val="32"/>
          <w:szCs w:val="32"/>
        </w:rPr>
        <w:t>①</w:t>
      </w:r>
      <w:r>
        <w:rPr>
          <w:rFonts w:hint="eastAsia" w:hAnsi="仿宋_GB2312" w:eastAsia="仿宋_GB2312"/>
          <w:color w:val="000000"/>
          <w:sz w:val="32"/>
          <w:szCs w:val="32"/>
        </w:rPr>
        <w:t>通风：先在瓜苗侧边，将膜划“一”字口进行通风。</w:t>
      </w:r>
      <w:r>
        <w:rPr>
          <w:rFonts w:hAnsi="仿宋_GB2312" w:eastAsia="仿宋_GB2312"/>
          <w:color w:val="000000"/>
          <w:sz w:val="32"/>
          <w:szCs w:val="32"/>
        </w:rPr>
        <w:t>②</w:t>
      </w:r>
      <w:r>
        <w:rPr>
          <w:rFonts w:hint="eastAsia" w:hAnsi="仿宋_GB2312" w:eastAsia="仿宋_GB2312"/>
          <w:color w:val="000000"/>
          <w:sz w:val="32"/>
          <w:szCs w:val="32"/>
        </w:rPr>
        <w:t>炼苗：通风1-2天后，环境温度稳定，再将膜划“十”字口进行通风炼苗。</w:t>
      </w:r>
      <w:r>
        <w:rPr>
          <w:rFonts w:hAnsi="仿宋_GB2312" w:eastAsia="仿宋_GB2312"/>
          <w:color w:val="000000"/>
          <w:sz w:val="32"/>
          <w:szCs w:val="32"/>
        </w:rPr>
        <w:t>③</w:t>
      </w:r>
      <w:r>
        <w:rPr>
          <w:rFonts w:hint="eastAsia" w:hAnsi="仿宋_GB2312" w:eastAsia="仿宋_GB2312"/>
          <w:color w:val="000000"/>
          <w:sz w:val="32"/>
          <w:szCs w:val="32"/>
        </w:rPr>
        <w:t>放苗：团棵后期（5叶1心）进行放苗，放苗时间以下午4点后为宜。④培土封窝：放苗之后立即培土封窝，保温保湿。⑤直播种植和自根苗的田块要用70亿活菌/克武夷菌菌液300倍液亩穴2.5公斤或用1000亿芽孢/克枯草芽孢杆菌可湿性粉剂600倍液亩穴200克灌根，有效防治硒砂瓜枯萎病。⑥采取人工拔除的方法及时除草。</w:t>
      </w:r>
      <w:r>
        <w:rPr>
          <w:rFonts w:hint="eastAsia" w:ascii="仿宋_GB2312" w:hAnsi="宋体" w:eastAsia="仿宋_GB2312" w:cs="宋体"/>
          <w:b/>
          <w:bCs/>
          <w:color w:val="000000"/>
          <w:kern w:val="0"/>
          <w:sz w:val="32"/>
          <w:szCs w:val="32"/>
        </w:rPr>
        <w:t>（2）团棵至伸蔓期管理。</w:t>
      </w:r>
      <w:r>
        <w:rPr>
          <w:rFonts w:hint="eastAsia" w:hAnsi="仿宋_GB2312" w:eastAsia="仿宋_GB2312"/>
          <w:color w:val="000000"/>
          <w:sz w:val="32"/>
          <w:szCs w:val="32"/>
        </w:rPr>
        <w:t>硒砂瓜种植应尽量施足基肥，若基施有机肥量不够，生长期间应根据土壤墒情、植株长势和降水量情况适时进行补水追肥。①补水追肥：一般在没有冬灌且生产季节无有效降水，砂地旱情比较严重的田块，亩补水8-10方。结合补水，每亩穴追施生物有机菌肥50公斤（每穴0.25公斤）或穴灌沼液100公斤（浓度比1：1，每穴0.5公斤）。伸蔓期追施沼液，不但补充养分，还可抑制蚜虫发生。②松砂除草：在硒砂瓜伸蔓期，如遇较强降雨或连续阴雨天要结合除草进行松砂，提高地温，增强土壤通透性，防止砂地板结。</w:t>
      </w:r>
      <w:r>
        <w:rPr>
          <w:rFonts w:hint="eastAsia" w:ascii="仿宋_GB2312" w:hAnsi="宋体" w:eastAsia="仿宋_GB2312" w:cs="宋体"/>
          <w:b/>
          <w:bCs/>
          <w:color w:val="000000"/>
          <w:kern w:val="0"/>
          <w:sz w:val="32"/>
          <w:szCs w:val="32"/>
        </w:rPr>
        <w:t>（3）开花至成熟期管理。</w:t>
      </w:r>
      <w:r>
        <w:rPr>
          <w:rFonts w:hint="eastAsia" w:hAnsi="仿宋_GB2312" w:eastAsia="仿宋_GB2312"/>
          <w:color w:val="000000"/>
          <w:sz w:val="32"/>
          <w:szCs w:val="32"/>
        </w:rPr>
        <w:t>西瓜开始坐瓜时，要适当控制水分补充，促进坐果。当幼果（鸡蛋大小）坐稳至膨大期时，水分养分需求达到高峰，此阶段，若无有效降雨，要通过适当补水，满足西瓜迅速膨大对水养分的需求。结合补水，可进行穴追肥或根外追肥。①水肥补充：水分的补充以穴滴灌方式进行，亩补水量8-10方。追施肥可采取穴追肥或根外追肥的方式进行。穴追肥法：在距瓜根20 厘米处刨开砂石层，用铁锹深施肥，亩施充分腐熟的农家肥100公斤或有机水溶肥50公斤。根外追肥法：每隔7-10天用沼液(浓度比1：1)或有机水溶肥根外追肥一次。②选瓜留瓜：幼瓜在鸡蛋大小时，尽量选12节位处留瓜，及时将畸形瓜和其他节位的幼瓜摘除，减少水养分的消耗，做到一穴一瓜。</w:t>
      </w:r>
      <w:r>
        <w:rPr>
          <w:rFonts w:hint="eastAsia" w:ascii="仿宋_GB2312" w:hAnsi="宋体" w:eastAsia="仿宋_GB2312" w:cs="宋体"/>
          <w:b/>
          <w:bCs/>
          <w:color w:val="000000"/>
          <w:kern w:val="0"/>
          <w:sz w:val="32"/>
          <w:szCs w:val="32"/>
        </w:rPr>
        <w:t>（4）虫害防治。</w:t>
      </w:r>
      <w:r>
        <w:rPr>
          <w:rFonts w:hint="eastAsia" w:hAnsi="仿宋_GB2312" w:eastAsia="仿宋_GB2312"/>
          <w:color w:val="000000"/>
          <w:sz w:val="32"/>
          <w:szCs w:val="32"/>
        </w:rPr>
        <w:t>①地下害虫：压砂地地下害虫主要有小地老虎、蒙古灰象甲、小灰象甲、金龟甲(幼虫名蛴螬)等害虫，一般成虫危害子叶和幼茎，导致植株萎蔫干死，幼虫危害根部造成断垄缺苗；可通过人工铲除田埂、路旁杂草，并集中消灭虫源，减轻地下害虫危害，同时结合毒土对地下害虫进行诱杀。②蚜虫：发现蚜虫及时防治，统一使用0.6%苦参碱水剂400-500倍液喷雾或阿维菌素1000倍液，统一时间，统一药剂统防统治。</w:t>
      </w:r>
      <w:r>
        <w:rPr>
          <w:rFonts w:hint="eastAsia" w:ascii="仿宋_GB2312" w:hAnsi="宋体" w:eastAsia="仿宋_GB2312" w:cs="宋体"/>
          <w:b/>
          <w:bCs/>
          <w:color w:val="000000"/>
          <w:kern w:val="0"/>
          <w:sz w:val="32"/>
          <w:szCs w:val="32"/>
        </w:rPr>
        <w:t>（5）病害防治。</w:t>
      </w:r>
      <w:r>
        <w:rPr>
          <w:rFonts w:hint="eastAsia" w:hAnsi="仿宋_GB2312" w:eastAsia="仿宋_GB2312"/>
          <w:color w:val="000000"/>
          <w:sz w:val="32"/>
          <w:szCs w:val="32"/>
        </w:rPr>
        <w:t>最好采取统防统治的方法，要做到早预防、早防治。在西瓜幼苗期、伸蔓期和膨大期等生长发育阶段，枯萎病会不同程度的发生，直播种植和自根苗的田块用1000亿/克的芽孢的枯草芽孢杆菌可湿性粉剂600倍液和300亿/毫升的生物菌剂300倍液的药剂交替灌根防治。在成熟期易发生炭疽病和蔓枯病，每亩用20%井岗霉素、多抗霉素1500倍液喷雾防治果斑病。用农抗120水剂200倍液或乙蒜素2000倍液喷雾，间隔5-7天，连续喷防2-3次防治炭疽病。</w:t>
      </w:r>
      <w:r>
        <w:rPr>
          <w:rFonts w:hint="eastAsia" w:hAnsi="仿宋_GB2312" w:eastAsia="仿宋_GB2312"/>
          <w:b/>
          <w:bCs/>
          <w:color w:val="000000"/>
          <w:sz w:val="32"/>
          <w:szCs w:val="32"/>
        </w:rPr>
        <w:t>（6）适时采摘。</w:t>
      </w:r>
      <w:r>
        <w:rPr>
          <w:rFonts w:hint="eastAsia" w:hAnsi="仿宋_GB2312" w:eastAsia="仿宋_GB2312"/>
          <w:color w:val="000000"/>
          <w:sz w:val="32"/>
          <w:szCs w:val="32"/>
        </w:rPr>
        <w:t>7月下旬-8月上旬以九成熟时适时采收，采收西瓜应选择晴天上午进行，雨后不宜采收，采收时应保留坐瓜节位前后各一节的枝蔓，可具有一定的保鲜作用。采收前20天内严禁喷洒各种农药，确保农产品质量安全。</w:t>
      </w:r>
    </w:p>
    <w:p>
      <w:pPr>
        <w:spacing w:line="58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帮扶示范点：</w:t>
      </w:r>
      <w:r>
        <w:rPr>
          <w:rFonts w:hint="eastAsia" w:ascii="仿宋_GB2312" w:hAnsi="宋体" w:eastAsia="仿宋_GB2312" w:cs="宋体"/>
          <w:color w:val="000000"/>
          <w:kern w:val="0"/>
          <w:sz w:val="32"/>
          <w:szCs w:val="32"/>
        </w:rPr>
        <w:t>常乐镇熊水村</w:t>
      </w:r>
    </w:p>
    <w:p>
      <w:pPr>
        <w:pStyle w:val="2"/>
        <w:spacing w:line="580" w:lineRule="exact"/>
        <w:ind w:firstLine="643" w:firstLineChars="200"/>
      </w:pPr>
      <w:r>
        <w:rPr>
          <w:rFonts w:hint="eastAsia" w:ascii="仿宋_GB2312" w:hAnsi="宋体" w:eastAsia="仿宋_GB2312" w:cs="宋体"/>
          <w:b/>
          <w:bCs/>
          <w:color w:val="000000"/>
          <w:kern w:val="0"/>
          <w:sz w:val="32"/>
          <w:szCs w:val="32"/>
        </w:rPr>
        <w:t>技术服务组：</w:t>
      </w:r>
      <w:r>
        <w:rPr>
          <w:rFonts w:hint="eastAsia" w:ascii="仿宋_GB2312" w:eastAsia="仿宋_GB2312"/>
          <w:sz w:val="32"/>
          <w:szCs w:val="32"/>
        </w:rPr>
        <w:t>蒋利（组长）、丁吉文、郝忠华、高新华、陈喜、徐守银、张海龙、石根荣、胡志荣、董秉业、张占聪、王玉红、孙国清</w:t>
      </w:r>
    </w:p>
    <w:p>
      <w:pPr>
        <w:pStyle w:val="2"/>
        <w:spacing w:line="580" w:lineRule="exact"/>
        <w:ind w:firstLine="643" w:firstLineChars="200"/>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（二）苹果产业</w:t>
      </w:r>
    </w:p>
    <w:p>
      <w:pPr>
        <w:pStyle w:val="2"/>
        <w:spacing w:line="580" w:lineRule="exact"/>
        <w:rPr>
          <w:rFonts w:hint="eastAsia" w:ascii="仿宋_GB2312" w:eastAsia="仿宋_GB2312"/>
          <w:sz w:val="32"/>
          <w:szCs w:val="32"/>
        </w:rPr>
      </w:pPr>
      <w:r>
        <w:rPr>
          <w:rFonts w:hint="eastAsia" w:ascii="仿宋_GB2312" w:hAnsi="宋体" w:eastAsia="仿宋_GB2312" w:cs="宋体"/>
          <w:b/>
          <w:bCs/>
          <w:color w:val="000000"/>
          <w:kern w:val="0"/>
          <w:sz w:val="32"/>
          <w:szCs w:val="32"/>
        </w:rPr>
        <w:t xml:space="preserve">    主推品种：</w:t>
      </w:r>
      <w:r>
        <w:rPr>
          <w:rFonts w:hint="eastAsia" w:ascii="仿宋_GB2312" w:eastAsia="仿宋_GB2312"/>
          <w:sz w:val="32"/>
          <w:szCs w:val="32"/>
        </w:rPr>
        <w:t>红富士</w:t>
      </w:r>
    </w:p>
    <w:p>
      <w:pPr>
        <w:pStyle w:val="2"/>
        <w:spacing w:line="580" w:lineRule="exact"/>
        <w:ind w:firstLine="643" w:firstLineChars="200"/>
        <w:rPr>
          <w:rFonts w:hint="eastAsia" w:ascii="仿宋_GB2312" w:hAnsi="宋体" w:eastAsia="仿宋_GB2312" w:cs="宋体"/>
          <w:b/>
          <w:bCs/>
          <w:color w:val="000000"/>
          <w:kern w:val="0"/>
          <w:sz w:val="32"/>
          <w:szCs w:val="32"/>
        </w:rPr>
      </w:pPr>
      <w:r>
        <w:rPr>
          <w:rFonts w:hint="eastAsia" w:ascii="仿宋_GB2312" w:hAnsi="仿宋_GB2312" w:eastAsia="仿宋_GB2312" w:cs="仿宋_GB2312"/>
          <w:b/>
          <w:bCs/>
          <w:sz w:val="32"/>
          <w:szCs w:val="32"/>
          <w:lang w:bidi="ar"/>
        </w:rPr>
        <w:t>主推区域：</w:t>
      </w:r>
      <w:r>
        <w:rPr>
          <w:rFonts w:hint="eastAsia" w:ascii="仿宋_GB2312" w:hAnsi="仿宋_GB2312" w:eastAsia="仿宋_GB2312" w:cs="仿宋_GB2312"/>
          <w:sz w:val="32"/>
          <w:szCs w:val="32"/>
          <w:lang w:bidi="ar"/>
        </w:rPr>
        <w:t>针对永康镇、宣和镇</w:t>
      </w:r>
      <w:r>
        <w:rPr>
          <w:rFonts w:hint="eastAsia" w:ascii="仿宋_GB2312" w:hAnsi="仿宋_GB2312" w:eastAsia="仿宋_GB2312" w:cs="仿宋_GB2312"/>
          <w:sz w:val="32"/>
          <w:szCs w:val="32"/>
          <w:lang w:val="zh-CN" w:bidi="ar"/>
        </w:rPr>
        <w:t>所辖的南山台扬黄灌区苹果栽培区域，包括永康镇和宣和镇南山台扬黄灌区的贫困村。</w:t>
      </w:r>
    </w:p>
    <w:p>
      <w:pPr>
        <w:spacing w:line="580" w:lineRule="exact"/>
        <w:ind w:firstLine="643" w:firstLineChars="200"/>
        <w:rPr>
          <w:rFonts w:hint="eastAsia" w:ascii="仿宋_GB2312" w:hAnsi="仿宋_GB2312" w:eastAsia="仿宋_GB2312" w:cs="仿宋_GB2312"/>
          <w:sz w:val="32"/>
          <w:szCs w:val="32"/>
          <w:lang w:val="zh-CN" w:bidi="ar"/>
        </w:rPr>
      </w:pPr>
      <w:r>
        <w:rPr>
          <w:rFonts w:hint="eastAsia" w:ascii="仿宋_GB2312" w:hAnsi="宋体" w:eastAsia="仿宋_GB2312" w:cs="宋体"/>
          <w:b/>
          <w:bCs/>
          <w:color w:val="000000"/>
          <w:kern w:val="0"/>
          <w:sz w:val="32"/>
          <w:szCs w:val="32"/>
        </w:rPr>
        <w:t>主要帮扶技术：</w:t>
      </w:r>
      <w:r>
        <w:rPr>
          <w:rFonts w:hint="eastAsia" w:ascii="仿宋_GB2312" w:hAnsi="仿宋_GB2312" w:eastAsia="仿宋_GB2312" w:cs="仿宋_GB2312"/>
          <w:b/>
          <w:sz w:val="32"/>
          <w:szCs w:val="32"/>
          <w:lang w:bidi="ar"/>
        </w:rPr>
        <w:t>（1）</w:t>
      </w:r>
      <w:r>
        <w:rPr>
          <w:rFonts w:hint="eastAsia" w:ascii="仿宋_GB2312" w:hAnsi="仿宋_GB2312" w:eastAsia="仿宋_GB2312" w:cs="仿宋_GB2312"/>
          <w:b/>
          <w:sz w:val="32"/>
          <w:szCs w:val="32"/>
          <w:lang w:val="zh-CN" w:bidi="ar"/>
        </w:rPr>
        <w:t>推广</w:t>
      </w:r>
      <w:r>
        <w:rPr>
          <w:rFonts w:hint="eastAsia" w:ascii="仿宋_GB2312" w:hAnsi="仿宋_GB2312" w:eastAsia="仿宋_GB2312" w:cs="仿宋_GB2312"/>
          <w:b/>
          <w:sz w:val="32"/>
          <w:szCs w:val="32"/>
          <w:lang w:bidi="ar"/>
        </w:rPr>
        <w:t>苹果树体改造技术</w:t>
      </w:r>
      <w:r>
        <w:rPr>
          <w:rFonts w:hint="eastAsia" w:ascii="仿宋_GB2312" w:hAnsi="宋体" w:eastAsia="仿宋_GB2312"/>
          <w:sz w:val="32"/>
          <w:szCs w:val="32"/>
        </w:rPr>
        <w:t>。</w:t>
      </w:r>
      <w:r>
        <w:rPr>
          <w:rFonts w:hint="eastAsia" w:ascii="仿宋_GB2312" w:eastAsia="仿宋_GB2312"/>
          <w:sz w:val="32"/>
          <w:szCs w:val="32"/>
          <w:lang w:val="zh-CN"/>
        </w:rPr>
        <w:t>成龄郁闭果园推广</w:t>
      </w:r>
      <w:r>
        <w:rPr>
          <w:rFonts w:hint="eastAsia" w:ascii="仿宋_GB2312" w:eastAsia="仿宋_GB2312"/>
          <w:sz w:val="32"/>
          <w:szCs w:val="32"/>
        </w:rPr>
        <w:t>“清三基、大开角、增基肥、狠疏果、创绿色”的五大苹果提质增效技术，改变郁闭果园树体结构，推行全园套袋技术，提高果品品质，增加果农收入。幼龄果园推广“当年定干覆好膜、两年清侧扶壮杆、三年刻芽拉开角、四年环割促花芽、五年保花早果丰”的苹果幼龄早果早丰技术，减少果园行间间作，提高幼龄果园经济效益，使幼龄果园提前2-3年进入结果期。</w:t>
      </w:r>
      <w:r>
        <w:rPr>
          <w:rFonts w:ascii="仿宋_GB2312" w:eastAsia="仿宋_GB2312"/>
          <w:sz w:val="32"/>
          <w:szCs w:val="32"/>
        </w:rPr>
        <w:t>在</w:t>
      </w:r>
      <w:r>
        <w:rPr>
          <w:rFonts w:hint="eastAsia" w:ascii="仿宋_GB2312" w:eastAsia="仿宋_GB2312"/>
          <w:sz w:val="32"/>
          <w:szCs w:val="32"/>
        </w:rPr>
        <w:t>低产园树体改造的基础上</w:t>
      </w:r>
      <w:r>
        <w:rPr>
          <w:rFonts w:ascii="仿宋_GB2312" w:eastAsia="仿宋_GB2312"/>
          <w:sz w:val="32"/>
          <w:szCs w:val="32"/>
        </w:rPr>
        <w:t>，</w:t>
      </w:r>
      <w:r>
        <w:rPr>
          <w:rFonts w:hint="eastAsia" w:ascii="仿宋_GB2312" w:eastAsia="仿宋_GB2312"/>
          <w:sz w:val="32"/>
          <w:szCs w:val="32"/>
        </w:rPr>
        <w:t>综合运用苹果提质增效综合配套技术进行示范引导，配套果园生草技术、交替控灌技术、秋施肥技术，病虫草害绿色防控技术，改</w:t>
      </w:r>
      <w:r>
        <w:rPr>
          <w:rFonts w:hint="eastAsia" w:ascii="仿宋_GB2312" w:hAnsi="宋体" w:eastAsia="仿宋_GB2312"/>
          <w:kern w:val="0"/>
          <w:sz w:val="32"/>
          <w:szCs w:val="32"/>
        </w:rPr>
        <w:t>变沙坡头区果品品质优良，外观品相差的问题。</w:t>
      </w:r>
      <w:r>
        <w:rPr>
          <w:rFonts w:hint="eastAsia" w:ascii="仿宋_GB2312" w:hAnsi="仿宋_GB2312" w:eastAsia="仿宋_GB2312" w:cs="仿宋_GB2312"/>
          <w:b/>
          <w:sz w:val="32"/>
          <w:szCs w:val="32"/>
          <w:lang w:val="zh-CN" w:bidi="ar"/>
        </w:rPr>
        <w:t>（</w:t>
      </w:r>
      <w:r>
        <w:rPr>
          <w:rFonts w:hint="eastAsia" w:ascii="仿宋_GB2312" w:hAnsi="仿宋_GB2312" w:eastAsia="仿宋_GB2312" w:cs="仿宋_GB2312"/>
          <w:b/>
          <w:sz w:val="32"/>
          <w:szCs w:val="32"/>
          <w:lang w:bidi="ar"/>
        </w:rPr>
        <w:t>2</w:t>
      </w:r>
      <w:r>
        <w:rPr>
          <w:rFonts w:hint="eastAsia" w:ascii="仿宋_GB2312" w:hAnsi="仿宋_GB2312" w:eastAsia="仿宋_GB2312" w:cs="仿宋_GB2312"/>
          <w:b/>
          <w:sz w:val="32"/>
          <w:szCs w:val="32"/>
          <w:lang w:val="zh-CN" w:bidi="ar"/>
        </w:rPr>
        <w:t>）人工种草。</w:t>
      </w:r>
      <w:r>
        <w:rPr>
          <w:rFonts w:hint="eastAsia" w:ascii="仿宋_GB2312" w:hAnsi="仿宋_GB2312" w:eastAsia="仿宋_GB2312" w:cs="仿宋_GB2312"/>
          <w:sz w:val="32"/>
          <w:szCs w:val="32"/>
          <w:lang w:val="zh-CN" w:bidi="ar"/>
        </w:rPr>
        <w:t>推行行间人工种草法。果园人工种草让其自然生长，但要控制草的高度，铲除个别的恶性草。此法有利于保持果园生态环境的平衡。果园行间人工种草可以增加土壤有机质含量，改良土壤。夏季免耕，采取人工种草法保湿并培肥土壤。当草高达到40厘米时割倒覆盖，这样有利于水土保持、培肥土壤、优质稳产和天敌昆虫的生存，省力省工。</w:t>
      </w:r>
      <w:r>
        <w:rPr>
          <w:rFonts w:hint="eastAsia" w:ascii="仿宋_GB2312" w:hAnsi="仿宋_GB2312" w:eastAsia="仿宋_GB2312" w:cs="仿宋_GB2312"/>
          <w:b/>
          <w:sz w:val="32"/>
          <w:szCs w:val="32"/>
          <w:lang w:val="zh-CN" w:bidi="ar"/>
        </w:rPr>
        <w:t>（</w:t>
      </w:r>
      <w:r>
        <w:rPr>
          <w:rFonts w:hint="eastAsia" w:ascii="仿宋_GB2312" w:hAnsi="仿宋_GB2312" w:eastAsia="仿宋_GB2312" w:cs="仿宋_GB2312"/>
          <w:b/>
          <w:sz w:val="32"/>
          <w:szCs w:val="32"/>
          <w:lang w:bidi="ar"/>
        </w:rPr>
        <w:t>3</w:t>
      </w:r>
      <w:r>
        <w:rPr>
          <w:rFonts w:hint="eastAsia" w:ascii="仿宋_GB2312" w:hAnsi="仿宋_GB2312" w:eastAsia="仿宋_GB2312" w:cs="仿宋_GB2312"/>
          <w:b/>
          <w:sz w:val="32"/>
          <w:szCs w:val="32"/>
          <w:lang w:val="zh-CN" w:bidi="ar"/>
        </w:rPr>
        <w:t>）有害生物防治。</w:t>
      </w:r>
      <w:r>
        <w:rPr>
          <w:rFonts w:hint="eastAsia" w:ascii="仿宋_GB2312" w:hAnsi="仿宋_GB2312" w:eastAsia="仿宋_GB2312" w:cs="仿宋_GB2312"/>
          <w:sz w:val="32"/>
          <w:szCs w:val="32"/>
          <w:lang w:val="zh-CN" w:bidi="ar"/>
        </w:rPr>
        <w:t>根据防治对象的生物学特性和危害特点，使用化学农药时严格按照GB／T8321农药合理使用准则的要求控制施药量。根据宁夏气候干旱少雨，苹果病虫害相对较少，防治容易的优势，重点采用物理防治，即全园推广频振式杀虫灯、粘板色板诱杀和冬季根颈部包缠瓦楞纸收集害虫等技术。并加强蚜虫、红蜘蛛、地老虎等病虫的防治。</w:t>
      </w:r>
    </w:p>
    <w:p>
      <w:pPr>
        <w:spacing w:line="58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帮扶示范点：</w:t>
      </w:r>
      <w:r>
        <w:rPr>
          <w:rFonts w:hint="eastAsia" w:ascii="仿宋_GB2312" w:hAnsi="宋体" w:eastAsia="仿宋_GB2312" w:cs="宋体"/>
          <w:color w:val="000000"/>
          <w:kern w:val="0"/>
          <w:sz w:val="32"/>
          <w:szCs w:val="32"/>
        </w:rPr>
        <w:t>永康镇永乐村</w:t>
      </w:r>
    </w:p>
    <w:p>
      <w:pPr>
        <w:spacing w:line="580" w:lineRule="exact"/>
        <w:ind w:firstLine="643" w:firstLineChars="200"/>
        <w:rPr>
          <w:rFonts w:hint="eastAsia"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技术服务组：</w:t>
      </w:r>
      <w:r>
        <w:rPr>
          <w:rFonts w:hint="eastAsia" w:ascii="仿宋_GB2312" w:hAnsi="宋体" w:eastAsia="仿宋_GB2312" w:cs="宋体"/>
          <w:color w:val="000000"/>
          <w:kern w:val="0"/>
          <w:sz w:val="32"/>
          <w:szCs w:val="32"/>
        </w:rPr>
        <w:t>张翠红（组长）、李元、岳芬芬、马田田</w:t>
      </w:r>
    </w:p>
    <w:p>
      <w:pPr>
        <w:pStyle w:val="2"/>
        <w:spacing w:line="580" w:lineRule="exact"/>
        <w:ind w:firstLine="643" w:firstLineChars="200"/>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（三）枸杞产业</w:t>
      </w:r>
    </w:p>
    <w:p>
      <w:pPr>
        <w:pStyle w:val="2"/>
        <w:spacing w:line="580" w:lineRule="exact"/>
        <w:ind w:firstLine="643" w:firstLineChars="200"/>
        <w:rPr>
          <w:rFonts w:hint="eastAsia" w:ascii="仿宋_GB2312" w:hAnsi="宋体" w:eastAsia="仿宋_GB2312" w:cs="宋体"/>
          <w:b/>
          <w:bCs/>
          <w:kern w:val="0"/>
          <w:sz w:val="32"/>
          <w:szCs w:val="32"/>
        </w:rPr>
      </w:pPr>
      <w:r>
        <w:rPr>
          <w:rFonts w:hint="eastAsia" w:ascii="仿宋_GB2312" w:hAnsi="宋体" w:eastAsia="仿宋_GB2312" w:cs="宋体"/>
          <w:b/>
          <w:bCs/>
          <w:color w:val="000000"/>
          <w:kern w:val="0"/>
          <w:sz w:val="32"/>
          <w:szCs w:val="32"/>
        </w:rPr>
        <w:t>主推品种：</w:t>
      </w:r>
      <w:r>
        <w:rPr>
          <w:rFonts w:hint="eastAsia" w:ascii="仿宋_GB2312" w:eastAsia="仿宋_GB2312"/>
          <w:sz w:val="32"/>
          <w:szCs w:val="32"/>
        </w:rPr>
        <w:t>宁杞1号、宁杞5号、宁杞7号</w:t>
      </w:r>
    </w:p>
    <w:p>
      <w:pPr>
        <w:pStyle w:val="2"/>
        <w:spacing w:line="580" w:lineRule="exact"/>
        <w:ind w:firstLine="643" w:firstLineChars="200"/>
        <w:rPr>
          <w:rFonts w:hint="eastAsia" w:ascii="仿宋_GB2312" w:eastAsia="仿宋_GB2312"/>
          <w:sz w:val="32"/>
          <w:szCs w:val="32"/>
        </w:rPr>
      </w:pPr>
      <w:r>
        <w:rPr>
          <w:rFonts w:hint="eastAsia" w:ascii="仿宋_GB2312" w:eastAsia="仿宋_GB2312"/>
          <w:b/>
          <w:bCs/>
          <w:sz w:val="32"/>
          <w:szCs w:val="32"/>
        </w:rPr>
        <w:t>主推区域：</w:t>
      </w:r>
      <w:r>
        <w:rPr>
          <w:rFonts w:hint="eastAsia" w:ascii="仿宋_GB2312" w:eastAsia="仿宋_GB2312"/>
          <w:sz w:val="32"/>
          <w:szCs w:val="32"/>
        </w:rPr>
        <w:t>针对兴仁镇、香山乡、宣和镇等枸杞产业较为集中区域，包括当地贫困村。</w:t>
      </w:r>
    </w:p>
    <w:p>
      <w:pPr>
        <w:spacing w:line="580" w:lineRule="exact"/>
        <w:ind w:firstLine="643" w:firstLineChars="200"/>
        <w:rPr>
          <w:rFonts w:hint="eastAsia" w:ascii="仿宋_GB2312" w:eastAsia="仿宋_GB2312"/>
          <w:sz w:val="32"/>
          <w:szCs w:val="32"/>
        </w:rPr>
      </w:pPr>
      <w:r>
        <w:rPr>
          <w:rFonts w:hint="eastAsia" w:ascii="仿宋_GB2312" w:hAnsi="宋体" w:eastAsia="仿宋_GB2312" w:cs="宋体"/>
          <w:b/>
          <w:bCs/>
          <w:color w:val="000000"/>
          <w:kern w:val="0"/>
          <w:sz w:val="32"/>
          <w:szCs w:val="32"/>
        </w:rPr>
        <w:t>主要帮扶技术：（1）</w:t>
      </w:r>
      <w:r>
        <w:rPr>
          <w:rFonts w:hint="eastAsia" w:ascii="仿宋_GB2312" w:eastAsia="仿宋_GB2312"/>
          <w:b/>
          <w:sz w:val="32"/>
          <w:szCs w:val="32"/>
        </w:rPr>
        <w:t>引进新品种进行种植。</w:t>
      </w:r>
      <w:r>
        <w:rPr>
          <w:rFonts w:hint="eastAsia" w:ascii="仿宋_GB2312" w:eastAsia="仿宋_GB2312"/>
          <w:sz w:val="32"/>
          <w:szCs w:val="32"/>
        </w:rPr>
        <w:t>引进宁夏农科院国家枸杞工程技术研究中心培育的新品种宁杞7号进行栽植。栽植行距3米、株距1米，每亩栽植222株。</w:t>
      </w:r>
      <w:r>
        <w:rPr>
          <w:rFonts w:hint="eastAsia" w:ascii="仿宋_GB2312" w:eastAsia="仿宋_GB2312"/>
          <w:b/>
          <w:sz w:val="32"/>
          <w:szCs w:val="32"/>
        </w:rPr>
        <w:t>（2）推广使用自制生物有机肥新技术。</w:t>
      </w:r>
      <w:r>
        <w:rPr>
          <w:rFonts w:hint="eastAsia" w:ascii="仿宋_GB2312" w:eastAsia="仿宋_GB2312"/>
          <w:sz w:val="32"/>
          <w:szCs w:val="32"/>
        </w:rPr>
        <w:t>购买牛、羊粪、腐殖酸、生物菌剂，按比例制</w:t>
      </w:r>
      <w:r>
        <w:rPr>
          <w:rFonts w:hint="eastAsia" w:ascii="仿宋_GB2312" w:eastAsia="仿宋_GB2312"/>
          <w:bCs/>
          <w:sz w:val="32"/>
          <w:szCs w:val="32"/>
        </w:rPr>
        <w:t>作生物有机肥；</w:t>
      </w:r>
      <w:r>
        <w:rPr>
          <w:rFonts w:hint="eastAsia" w:ascii="仿宋_GB2312" w:eastAsia="仿宋_GB2312"/>
          <w:bCs/>
          <w:kern w:val="0"/>
          <w:sz w:val="32"/>
          <w:szCs w:val="32"/>
          <w:lang w:bidi="ar"/>
        </w:rPr>
        <w:t>施用自制生物有机肥营养元素全面，</w:t>
      </w:r>
      <w:r>
        <w:rPr>
          <w:rFonts w:hint="eastAsia" w:ascii="仿宋_GB2312" w:eastAsia="仿宋_GB2312"/>
          <w:kern w:val="0"/>
          <w:sz w:val="32"/>
          <w:szCs w:val="32"/>
          <w:lang w:bidi="ar"/>
        </w:rPr>
        <w:t>能够改良土壤生物、改善作物根际微生物群、提高作物抗病虫害能力、活化土壤、</w:t>
      </w:r>
      <w:r>
        <w:rPr>
          <w:rFonts w:hint="eastAsia" w:ascii="仿宋_GB2312" w:eastAsia="仿宋_GB2312"/>
          <w:sz w:val="32"/>
          <w:szCs w:val="32"/>
        </w:rPr>
        <w:t>肥效持久、不烧根、不烧苗</w:t>
      </w:r>
      <w:r>
        <w:rPr>
          <w:rFonts w:hint="eastAsia" w:ascii="仿宋_GB2312" w:eastAsia="仿宋_GB2312"/>
          <w:kern w:val="0"/>
          <w:sz w:val="32"/>
          <w:szCs w:val="32"/>
          <w:lang w:bidi="ar"/>
        </w:rPr>
        <w:t>，能够</w:t>
      </w:r>
      <w:r>
        <w:rPr>
          <w:rFonts w:hint="eastAsia" w:ascii="仿宋_GB2312" w:eastAsia="仿宋_GB2312"/>
          <w:sz w:val="32"/>
          <w:szCs w:val="32"/>
        </w:rPr>
        <w:t>解磷解钾固氮，提高肥料利用率。</w:t>
      </w:r>
      <w:r>
        <w:rPr>
          <w:rFonts w:hint="eastAsia" w:ascii="仿宋_GB2312" w:eastAsia="仿宋_GB2312"/>
          <w:b/>
          <w:sz w:val="32"/>
          <w:szCs w:val="32"/>
        </w:rPr>
        <w:t>（3）推广用植物源，矿物源农药。</w:t>
      </w:r>
      <w:r>
        <w:rPr>
          <w:rFonts w:hint="eastAsia" w:ascii="仿宋_GB2312" w:eastAsia="仿宋_GB2312"/>
          <w:sz w:val="32"/>
          <w:szCs w:val="32"/>
        </w:rPr>
        <w:t>严格实行全园施用植物源、矿物源农药，植物源农药来源于自然，一般不会污染环境及农产品，环境和人体中积累毒性的可能性不大，对人和牲畜相对安全，对害虫天敌伤害小，且害虫对其难以产生耐药性，具有低毒、低残留的特点，能够坚持农产品的高品质，无农残。</w:t>
      </w:r>
      <w:r>
        <w:rPr>
          <w:rFonts w:hint="eastAsia" w:ascii="仿宋_GB2312" w:hAnsi="仿宋_GB2312" w:eastAsia="仿宋_GB2312" w:cs="仿宋_GB2312"/>
          <w:b/>
          <w:bCs/>
          <w:sz w:val="32"/>
          <w:szCs w:val="32"/>
        </w:rPr>
        <w:t>（4）推广使用现代化机械设备。</w:t>
      </w:r>
      <w:r>
        <w:rPr>
          <w:rFonts w:hint="eastAsia" w:ascii="仿宋_GB2312" w:eastAsia="仿宋_GB2312"/>
          <w:sz w:val="32"/>
          <w:szCs w:val="32"/>
        </w:rPr>
        <w:t>使用自动喷药机防风装备，能够降低药物浪费，提高药物在苗木上的附着效果，更有效的利用药物，降低病虫害的发生。</w:t>
      </w:r>
    </w:p>
    <w:p>
      <w:pPr>
        <w:spacing w:line="580" w:lineRule="exact"/>
        <w:ind w:firstLine="643" w:firstLineChars="200"/>
        <w:rPr>
          <w:rFonts w:ascii="仿宋_GB2312" w:hAnsi="宋体" w:eastAsia="仿宋_GB2312" w:cs="宋体"/>
          <w:color w:val="0000FF"/>
          <w:kern w:val="0"/>
          <w:sz w:val="32"/>
          <w:szCs w:val="32"/>
        </w:rPr>
      </w:pPr>
      <w:r>
        <w:rPr>
          <w:rFonts w:hint="eastAsia" w:ascii="仿宋_GB2312" w:hAnsi="宋体" w:eastAsia="仿宋_GB2312" w:cs="宋体"/>
          <w:b/>
          <w:bCs/>
          <w:color w:val="000000"/>
          <w:kern w:val="0"/>
          <w:sz w:val="32"/>
          <w:szCs w:val="32"/>
        </w:rPr>
        <w:t>帮扶示范点：</w:t>
      </w:r>
      <w:r>
        <w:rPr>
          <w:rFonts w:hint="eastAsia" w:ascii="仿宋_GB2312" w:eastAsia="仿宋_GB2312"/>
          <w:sz w:val="32"/>
          <w:szCs w:val="32"/>
        </w:rPr>
        <w:t>兴仁镇川裕村</w:t>
      </w:r>
    </w:p>
    <w:p>
      <w:pPr>
        <w:spacing w:line="580" w:lineRule="exact"/>
        <w:ind w:firstLine="643" w:firstLineChars="200"/>
        <w:rPr>
          <w:rFonts w:hint="eastAsia"/>
          <w:b/>
          <w:bCs/>
        </w:rPr>
      </w:pPr>
      <w:r>
        <w:rPr>
          <w:rFonts w:hint="eastAsia" w:ascii="仿宋_GB2312" w:hAnsi="宋体" w:eastAsia="仿宋_GB2312" w:cs="宋体"/>
          <w:b/>
          <w:bCs/>
          <w:color w:val="000000"/>
          <w:kern w:val="0"/>
          <w:sz w:val="32"/>
          <w:szCs w:val="32"/>
        </w:rPr>
        <w:t>技术服务组：</w:t>
      </w:r>
      <w:r>
        <w:rPr>
          <w:rFonts w:hint="eastAsia" w:ascii="仿宋_GB2312" w:hAnsi="宋体" w:eastAsia="仿宋_GB2312" w:cs="宋体"/>
          <w:color w:val="000000"/>
          <w:kern w:val="0"/>
          <w:sz w:val="32"/>
          <w:szCs w:val="32"/>
        </w:rPr>
        <w:t>赵顺山（组长）、李元、岳芬芬、马田田</w:t>
      </w:r>
    </w:p>
    <w:p>
      <w:pPr>
        <w:pStyle w:val="2"/>
        <w:spacing w:line="580" w:lineRule="exact"/>
        <w:ind w:firstLine="643" w:firstLineChars="200"/>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（四）肉牛肉羊产业</w:t>
      </w:r>
    </w:p>
    <w:p>
      <w:pPr>
        <w:widowControl/>
        <w:spacing w:line="580" w:lineRule="exact"/>
        <w:ind w:firstLine="643" w:firstLineChars="200"/>
        <w:jc w:val="left"/>
        <w:rPr>
          <w:rFonts w:ascii="仿宋_GB2312" w:eastAsia="仿宋_GB2312"/>
          <w:sz w:val="32"/>
          <w:szCs w:val="32"/>
        </w:rPr>
      </w:pPr>
      <w:r>
        <w:rPr>
          <w:rFonts w:hint="eastAsia" w:ascii="仿宋_GB2312" w:eastAsia="仿宋_GB2312"/>
          <w:b/>
          <w:bCs/>
          <w:sz w:val="32"/>
          <w:szCs w:val="32"/>
        </w:rPr>
        <w:t>主推品种：</w:t>
      </w:r>
      <w:r>
        <w:rPr>
          <w:rFonts w:hint="eastAsia" w:ascii="仿宋_GB2312" w:eastAsia="仿宋_GB2312"/>
          <w:sz w:val="32"/>
          <w:szCs w:val="32"/>
        </w:rPr>
        <w:t>西门塔尔、安格斯、夏洛莱 、宁夏滩羊、小尾寒羊、西藏羊</w:t>
      </w:r>
    </w:p>
    <w:p>
      <w:pPr>
        <w:pStyle w:val="2"/>
        <w:spacing w:line="580" w:lineRule="exact"/>
        <w:ind w:firstLine="642"/>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主推区域：</w:t>
      </w:r>
      <w:r>
        <w:rPr>
          <w:rFonts w:hint="eastAsia" w:ascii="仿宋_GB2312" w:hAnsi="宋体" w:eastAsia="仿宋_GB2312" w:cs="宋体"/>
          <w:color w:val="000000"/>
          <w:kern w:val="0"/>
          <w:sz w:val="32"/>
          <w:szCs w:val="32"/>
        </w:rPr>
        <w:t>兴仁镇、常乐镇、宣和镇、迎水桥镇</w:t>
      </w:r>
    </w:p>
    <w:p>
      <w:pPr>
        <w:pStyle w:val="2"/>
        <w:spacing w:line="580" w:lineRule="exact"/>
        <w:ind w:firstLine="642"/>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主要帮扶技术：</w:t>
      </w:r>
    </w:p>
    <w:p>
      <w:pPr>
        <w:pStyle w:val="2"/>
        <w:spacing w:line="580" w:lineRule="exact"/>
        <w:ind w:firstLine="642"/>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1.育肥肉牛的饲养管理技术。（1）饲喂技术：</w:t>
      </w:r>
      <w:r>
        <w:rPr>
          <w:rFonts w:hint="eastAsia" w:ascii="仿宋_GB2312" w:eastAsia="仿宋_GB2312"/>
          <w:sz w:val="32"/>
          <w:szCs w:val="32"/>
        </w:rPr>
        <w:t>牛的饲喂比较粗放，一般控制好饲喂的次数，饲喂量和精、粗、青料的搭配，就能养好牛。①饲喂次数：架子牛育肥一般日喂两次，间隔为12小时，早晚各一次，中午饮水一次，确保牛有充分的休息、反刍时间，减少牛的运动。②饲喂方法：将精、粗、青料按照一定的比例拌在一起饲喂，可提高饲料消化率。也可先喂粗料，后喂精料，保证牛能吃饱，促进牛多采食。饲喂要做到定时、定量、定序、定人、少喂勤添。③自由采食与限量饲喂：一般来说，育肥牛采用自由采食方式，充分发挥机体的生长潜力，缩短育肥期；犊牛，青牛则应进行适当的限量饲喂，保证牛的骨架充分发育，防止出现又短又矮的牛。</w:t>
      </w:r>
      <w:r>
        <w:rPr>
          <w:rFonts w:hint="eastAsia" w:ascii="仿宋_GB2312" w:eastAsia="仿宋_GB2312"/>
          <w:b/>
          <w:bCs/>
          <w:sz w:val="32"/>
          <w:szCs w:val="32"/>
        </w:rPr>
        <w:t>（2）营养供应技术：</w:t>
      </w:r>
      <w:r>
        <w:rPr>
          <w:rFonts w:hint="eastAsia" w:ascii="仿宋_GB2312" w:eastAsia="仿宋_GB2312"/>
          <w:sz w:val="32"/>
          <w:szCs w:val="32"/>
        </w:rPr>
        <w:t>在不同阶段，育肥肉牛对饲料品质有不同要求，幼龄牛要求有较多的蛋白质饲料，成年牛和育肥后期需要较多的能量饲料。</w:t>
      </w:r>
      <w:r>
        <w:rPr>
          <w:rFonts w:hint="eastAsia" w:ascii="仿宋_GB2312" w:eastAsia="仿宋_GB2312"/>
          <w:b/>
          <w:bCs/>
          <w:sz w:val="32"/>
          <w:szCs w:val="32"/>
        </w:rPr>
        <w:t>（3）管理技术：</w:t>
      </w:r>
      <w:r>
        <w:rPr>
          <w:rFonts w:hint="eastAsia" w:ascii="仿宋_GB2312" w:eastAsia="仿宋_GB2312"/>
          <w:sz w:val="32"/>
          <w:szCs w:val="32"/>
        </w:rPr>
        <w:t>在做好日常饲喂的同时，还要加强对牛的管理，做好编号、分群、驱虫、消毒、防疫等工作，保证牛能顺利生长。①称重：由于称重不方便，可用（体重Kg=胸围cm</w:t>
      </w:r>
      <w:r>
        <w:rPr>
          <w:rFonts w:hint="eastAsia" w:ascii="仿宋_GB2312" w:eastAsia="仿宋_GB2312"/>
          <w:sz w:val="32"/>
          <w:szCs w:val="32"/>
          <w:vertAlign w:val="superscript"/>
        </w:rPr>
        <w:t>2</w:t>
      </w:r>
      <w:r>
        <w:rPr>
          <w:rFonts w:hint="eastAsia" w:ascii="仿宋_GB2312" w:eastAsia="仿宋_GB2312"/>
          <w:sz w:val="32"/>
          <w:szCs w:val="32"/>
        </w:rPr>
        <w:t>×体斜长÷10000）估算。②编号：编号方法有耳标法、挂牌法、漆记法、剪毛法、烙印法。③分群：育肥前应根据育肥牛的品种、体重、年龄、体质及膘情合理分群饲养。④驱虫和消毒防疫：架子牛过渡饲养期结束，转入育肥期之前，应做一次全面的体内外驱虫和防疫注射；作强度育肥前还应驱虫一次。⑤限制运动：拴系舍饲育肥，可定时牵到运动场适当运动。运动时间夏季在早晚，冬季在中午。⑥试刷牛体：每天用刷子刷牛体，可促进血液循环，提高代谢水平，有助于牛增重，一般每天1-2天。</w:t>
      </w:r>
    </w:p>
    <w:p>
      <w:pPr>
        <w:spacing w:line="58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2.肉羊的饲养管理技术。（1）肉羊品种选育技术：</w:t>
      </w:r>
      <w:r>
        <w:rPr>
          <w:rFonts w:hint="eastAsia" w:ascii="仿宋_GB2312" w:hAnsi="宋体" w:eastAsia="仿宋_GB2312" w:cs="宋体"/>
          <w:color w:val="000000"/>
          <w:kern w:val="0"/>
          <w:sz w:val="32"/>
          <w:szCs w:val="32"/>
        </w:rPr>
        <w:t>通过选种选配、改善饲养条件和营养水平等措施，对留种肉羊进行体重、体尺测量和生产性能测定，依据肉羊选育标准筛选出优秀后代，组建选育群开展选育，提高肉羊整体生产性能。</w:t>
      </w:r>
      <w:r>
        <w:rPr>
          <w:rFonts w:hint="eastAsia" w:ascii="仿宋_GB2312" w:hAnsi="宋体" w:eastAsia="仿宋_GB2312" w:cs="宋体"/>
          <w:b/>
          <w:bCs/>
          <w:color w:val="000000"/>
          <w:kern w:val="0"/>
          <w:sz w:val="32"/>
          <w:szCs w:val="32"/>
        </w:rPr>
        <w:t>（2）肉羊的杂交改良技术：</w:t>
      </w:r>
      <w:r>
        <w:rPr>
          <w:rFonts w:hint="eastAsia" w:ascii="仿宋_GB2312" w:hAnsi="宋体" w:eastAsia="仿宋_GB2312" w:cs="宋体"/>
          <w:color w:val="000000"/>
          <w:kern w:val="0"/>
          <w:sz w:val="32"/>
          <w:szCs w:val="32"/>
        </w:rPr>
        <w:t>充分利用引进品种的生长速度快、产肉量大、繁殖力强、饲料报酬高等优点来改良地方品种的出生重小、繁殖力低、增重速度慢、成年体重小、育肥性能差、饲料报酬低等方面缺点，并保持地方品种的耐粗饲、抗病力高、适应性强、肉质风味好等优点。</w:t>
      </w:r>
      <w:r>
        <w:rPr>
          <w:rFonts w:hint="eastAsia" w:ascii="仿宋_GB2312" w:hAnsi="宋体" w:eastAsia="仿宋_GB2312" w:cs="宋体"/>
          <w:b/>
          <w:bCs/>
          <w:color w:val="000000"/>
          <w:kern w:val="0"/>
          <w:sz w:val="32"/>
          <w:szCs w:val="32"/>
        </w:rPr>
        <w:t>（3）推广羔羊补饲和早期断奶技术：</w:t>
      </w:r>
      <w:r>
        <w:rPr>
          <w:rFonts w:hint="eastAsia" w:ascii="仿宋_GB2312" w:hAnsi="宋体" w:eastAsia="仿宋_GB2312" w:cs="宋体"/>
          <w:color w:val="000000"/>
          <w:kern w:val="0"/>
          <w:sz w:val="32"/>
          <w:szCs w:val="32"/>
        </w:rPr>
        <w:t>羔羊长至几周龄后，母羊奶已不能满足其营养需要，因此需早期训练羔羊吃草吃料，进行补饲。一般从7-10日龄开始诱食，15-30日龄喂50-70克，30-60日龄达到100克，60-90日龄达到200克，保证羔羊全活全壮、快速生长，为早期断奶和后期育肥打好基础。早期断奶在100日龄进行，最迟不要超过4月龄，这样可缩短产羔间隔，增加母羊利用年限内的产胎数。</w:t>
      </w:r>
      <w:r>
        <w:rPr>
          <w:rFonts w:hint="eastAsia" w:ascii="仿宋_GB2312" w:hAnsi="宋体" w:eastAsia="仿宋_GB2312" w:cs="宋体"/>
          <w:b/>
          <w:bCs/>
          <w:color w:val="000000"/>
          <w:kern w:val="0"/>
          <w:sz w:val="32"/>
          <w:szCs w:val="32"/>
        </w:rPr>
        <w:t>（4）秸秆饲料加工调制技术：</w:t>
      </w:r>
      <w:r>
        <w:rPr>
          <w:rFonts w:hint="eastAsia" w:ascii="仿宋_GB2312" w:hAnsi="宋体" w:eastAsia="仿宋_GB2312" w:cs="宋体"/>
          <w:color w:val="000000"/>
          <w:kern w:val="0"/>
          <w:sz w:val="32"/>
          <w:szCs w:val="32"/>
        </w:rPr>
        <w:t>在农作物籽实收获后，将秸秆及时收集，应用乳酸菌、饲料酶等添加剂、按照青贮饲料加工调制的方法，原料用铡草机或揉丝机铡短或揉丝、装填与压实、青贮窖密封，将农作物秸秆加工调制成优质粗饲料。</w:t>
      </w:r>
      <w:r>
        <w:rPr>
          <w:rFonts w:hint="eastAsia" w:ascii="仿宋_GB2312" w:hAnsi="宋体" w:eastAsia="仿宋_GB2312" w:cs="宋体"/>
          <w:b/>
          <w:bCs/>
          <w:color w:val="000000"/>
          <w:kern w:val="0"/>
          <w:sz w:val="32"/>
          <w:szCs w:val="32"/>
        </w:rPr>
        <w:t>（5）推广疾病综合防治技术：</w:t>
      </w:r>
      <w:r>
        <w:rPr>
          <w:rFonts w:hint="eastAsia" w:ascii="仿宋_GB2312" w:hAnsi="宋体" w:eastAsia="仿宋_GB2312" w:cs="宋体"/>
          <w:color w:val="000000"/>
          <w:kern w:val="0"/>
          <w:sz w:val="32"/>
          <w:szCs w:val="32"/>
        </w:rPr>
        <w:t>重点做好传染病的预防接种工作，坚持预防为主的原则，定期驱除羊体内外寄生虫，注意圈舍的卫生消毒，在日常管理中经常观察羊只精神、饮食、粪便是否正常，做到没病早防，有病早治。</w:t>
      </w:r>
    </w:p>
    <w:p>
      <w:pPr>
        <w:spacing w:line="580" w:lineRule="exact"/>
        <w:ind w:firstLine="643" w:firstLineChars="200"/>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帮扶示范点：</w:t>
      </w:r>
      <w:r>
        <w:rPr>
          <w:rFonts w:hint="eastAsia" w:ascii="仿宋_GB2312" w:hAnsi="宋体" w:eastAsia="仿宋_GB2312" w:cs="宋体"/>
          <w:color w:val="000000"/>
          <w:kern w:val="0"/>
          <w:sz w:val="32"/>
          <w:szCs w:val="32"/>
        </w:rPr>
        <w:t>常乐镇思乐村</w:t>
      </w:r>
    </w:p>
    <w:p>
      <w:pPr>
        <w:pStyle w:val="2"/>
        <w:spacing w:line="580" w:lineRule="exact"/>
        <w:ind w:firstLine="643" w:firstLineChars="200"/>
        <w:rPr>
          <w:rFonts w:hint="eastAsia"/>
        </w:rPr>
      </w:pPr>
      <w:r>
        <w:rPr>
          <w:rFonts w:hint="eastAsia" w:ascii="仿宋_GB2312" w:hAnsi="宋体" w:eastAsia="仿宋_GB2312" w:cs="宋体"/>
          <w:b/>
          <w:bCs/>
          <w:color w:val="000000"/>
          <w:kern w:val="0"/>
          <w:sz w:val="32"/>
          <w:szCs w:val="32"/>
        </w:rPr>
        <w:t>技术服务组：</w:t>
      </w:r>
      <w:r>
        <w:rPr>
          <w:rFonts w:hint="eastAsia" w:ascii="仿宋_GB2312" w:hAnsi="宋体" w:eastAsia="仿宋_GB2312" w:cs="宋体"/>
          <w:color w:val="000000"/>
          <w:kern w:val="0"/>
          <w:sz w:val="32"/>
          <w:szCs w:val="32"/>
        </w:rPr>
        <w:t>何凤彪（组长）、拓守珍、何培正、柏丽、沈君平、冯建刚</w:t>
      </w:r>
    </w:p>
    <w:p>
      <w:pPr>
        <w:pStyle w:val="2"/>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三、产业扶贫技术服务组工作职责</w:t>
      </w:r>
    </w:p>
    <w:p>
      <w:pPr>
        <w:pStyle w:val="2"/>
        <w:spacing w:line="580" w:lineRule="exact"/>
        <w:ind w:firstLine="643" w:firstLineChars="200"/>
        <w:rPr>
          <w:rFonts w:ascii="仿宋_GB2312" w:hAnsi="宋体" w:eastAsia="仿宋_GB2312" w:cs="宋体"/>
          <w:color w:val="000000"/>
          <w:kern w:val="0"/>
          <w:sz w:val="32"/>
          <w:szCs w:val="32"/>
        </w:rPr>
      </w:pPr>
      <w:r>
        <w:rPr>
          <w:rFonts w:hint="eastAsia" w:ascii="楷体_GB2312" w:hAnsi="楷体_GB2312" w:eastAsia="楷体_GB2312" w:cs="楷体_GB2312"/>
          <w:b/>
          <w:bCs/>
          <w:sz w:val="32"/>
          <w:szCs w:val="32"/>
        </w:rPr>
        <w:t>（一）编制产业扶贫技术服务总体方案。</w:t>
      </w:r>
      <w:r>
        <w:rPr>
          <w:rFonts w:hint="eastAsia" w:ascii="仿宋_GB2312" w:hAnsi="宋体" w:eastAsia="仿宋_GB2312" w:cs="宋体"/>
          <w:color w:val="000000"/>
          <w:kern w:val="0"/>
          <w:sz w:val="32"/>
          <w:szCs w:val="32"/>
        </w:rPr>
        <w:t>依据沙坡头区产业扶贫技术帮扶工作方案，结合贫困村产业发展实际，分类别、分产业制定切实可行的技术服务工作方案，以农业科技服务和精准扶贫帮扶为基础，以推广主导品种和主推技术为载体，建立技术人员直接到户、良种良法直接到田、技术要领直接到人的农业推广服务机制。</w:t>
      </w:r>
    </w:p>
    <w:p>
      <w:pPr>
        <w:pStyle w:val="2"/>
        <w:spacing w:line="580" w:lineRule="exact"/>
        <w:ind w:firstLine="643" w:firstLineChars="200"/>
        <w:rPr>
          <w:rFonts w:hint="eastAsia" w:ascii="仿宋_GB2312" w:hAnsi="宋体" w:eastAsia="仿宋_GB2312" w:cs="宋体"/>
          <w:color w:val="000000"/>
          <w:kern w:val="0"/>
          <w:sz w:val="32"/>
          <w:szCs w:val="32"/>
        </w:rPr>
      </w:pPr>
      <w:r>
        <w:rPr>
          <w:rFonts w:hint="eastAsia" w:ascii="楷体_GB2312" w:hAnsi="楷体_GB2312" w:eastAsia="楷体_GB2312" w:cs="楷体_GB2312"/>
          <w:b/>
          <w:bCs/>
          <w:sz w:val="32"/>
          <w:szCs w:val="32"/>
        </w:rPr>
        <w:t>（二）开展技术示范推广。</w:t>
      </w:r>
      <w:r>
        <w:rPr>
          <w:rFonts w:hint="eastAsia" w:ascii="仿宋_GB2312" w:hAnsi="宋体" w:eastAsia="仿宋_GB2312" w:cs="宋体"/>
          <w:color w:val="000000"/>
          <w:kern w:val="0"/>
          <w:sz w:val="32"/>
          <w:szCs w:val="32"/>
        </w:rPr>
        <w:t>结合我区产业发展实际，在27个贫困村，以特色产业发展为主导，通过政策宣传引导，产业项目支持，创新技术服务机制等措施，示范引进新品种、新技术、开展技术试验示范，大力推广硒砂瓜自根苗种植、硒砂瓜标准化生产、优质苹果标准化栽培、苹果冬季修剪、枸杞高效栽培、枸杞统防统治、肉牛肉羊品种改良及集约育肥、秸秆饲料加工、动物疾病防控等农业实用技术，提高贫困村产业发展水平。</w:t>
      </w:r>
    </w:p>
    <w:p>
      <w:pPr>
        <w:pStyle w:val="2"/>
        <w:spacing w:line="580" w:lineRule="exact"/>
        <w:ind w:firstLine="643" w:firstLineChars="200"/>
      </w:pPr>
      <w:r>
        <w:rPr>
          <w:rFonts w:hint="eastAsia" w:ascii="楷体_GB2312" w:hAnsi="楷体_GB2312" w:eastAsia="楷体_GB2312" w:cs="楷体_GB2312"/>
          <w:b/>
          <w:bCs/>
          <w:sz w:val="32"/>
          <w:szCs w:val="32"/>
        </w:rPr>
        <w:t>（三）开展技术培训。</w:t>
      </w:r>
      <w:r>
        <w:rPr>
          <w:rFonts w:hint="eastAsia" w:ascii="仿宋_GB2312" w:hAnsi="宋体" w:eastAsia="仿宋_GB2312" w:cs="宋体"/>
          <w:color w:val="000000"/>
          <w:kern w:val="0"/>
          <w:sz w:val="32"/>
          <w:szCs w:val="32"/>
        </w:rPr>
        <w:t>围绕贫困村、贫困户的需求，有针对性的举办各类培训会、培训班，</w:t>
      </w:r>
      <w:r>
        <w:rPr>
          <w:rFonts w:hint="eastAsia" w:ascii="仿宋_GB2312" w:eastAsia="仿宋_GB2312"/>
          <w:sz w:val="32"/>
          <w:szCs w:val="32"/>
        </w:rPr>
        <w:t>采取集中培训、实地指导、外出学习、电话咨询、微信答疑等方式，有计划、有步骤地把农业新成果、新技术、新信息快捷快速传递给贫困群众，提高农民学技术、用技术的积极性，增强贫困户科学种田、科学管理的能力，提升农业产业化、科技化发展水平。</w:t>
      </w:r>
    </w:p>
    <w:p>
      <w:pPr>
        <w:pStyle w:val="2"/>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四、工作措施</w:t>
      </w:r>
    </w:p>
    <w:p>
      <w:pPr>
        <w:spacing w:line="58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（一）压实工作责任。</w:t>
      </w:r>
      <w:r>
        <w:rPr>
          <w:rFonts w:hint="eastAsia" w:ascii="仿宋_GB2312" w:hAnsi="仿宋_GB2312" w:eastAsia="仿宋_GB2312" w:cs="仿宋_GB2312"/>
          <w:sz w:val="32"/>
          <w:szCs w:val="32"/>
        </w:rPr>
        <w:t>相关乡镇要根据产业结构和工作实际，主动与技术服务组对接，在贫困村组织开展各类培训班，确保贫困户的参培率，并且要整合农、林、畜牧、扶贫等工作人员，协助技术帮扶组做好农业新品种、新技术、新设施、新机具的示范推广及贫困户培训工作，解决农业生产和畜牧养殖中存在的技术难题。技术服务组实行组长负责制，由组长统筹协调开展工作，做好方案制定、技术推广、技术培训、工作总结等，保障技术帮扶工作取得实效。</w:t>
      </w:r>
    </w:p>
    <w:p>
      <w:pPr>
        <w:pStyle w:val="4"/>
        <w:widowControl/>
        <w:spacing w:line="580" w:lineRule="exact"/>
        <w:ind w:firstLine="643" w:firstLineChars="200"/>
        <w:jc w:val="both"/>
        <w:rPr>
          <w:rFonts w:hint="eastAsia" w:ascii="楷体_GB2312" w:hAnsi="楷体_GB2312" w:eastAsia="楷体_GB2312" w:cs="楷体_GB2312"/>
          <w:b/>
          <w:bCs/>
          <w:sz w:val="32"/>
          <w:szCs w:val="32"/>
        </w:rPr>
      </w:pPr>
      <w:r>
        <w:rPr>
          <w:rFonts w:hint="eastAsia" w:ascii="楷体_GB2312" w:hAnsi="楷体_GB2312" w:eastAsia="楷体_GB2312" w:cs="楷体_GB2312"/>
          <w:b/>
          <w:bCs/>
          <w:kern w:val="2"/>
          <w:sz w:val="32"/>
          <w:szCs w:val="32"/>
        </w:rPr>
        <w:t>（二）培育典型示范。</w:t>
      </w:r>
      <w:r>
        <w:rPr>
          <w:rFonts w:hint="eastAsia" w:ascii="仿宋_GB2312" w:hAnsi="仿宋_GB2312" w:eastAsia="仿宋_GB2312" w:cs="仿宋_GB2312"/>
          <w:kern w:val="2"/>
          <w:sz w:val="32"/>
          <w:szCs w:val="32"/>
        </w:rPr>
        <w:t>各单位充分利用广播、电视、报刊、网络等多种媒体，全面客观地报道产业扶贫技术服务的经验做法和工作成效。要注重挖掘亮点和选树典型，充分发挥技术能手、致富带头人和示范户的作用，及时总结好经验、好做法、新举措，充分发挥典型示范户的带动作用，通过典型引路，辐射带动产业扶贫技术帮扶工作深入开展。</w:t>
      </w:r>
    </w:p>
    <w:p>
      <w:pPr>
        <w:spacing w:line="58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（三）强化监督检查。</w:t>
      </w:r>
      <w:r>
        <w:rPr>
          <w:rFonts w:hint="eastAsia" w:ascii="仿宋_GB2312" w:hAnsi="仿宋_GB2312" w:eastAsia="仿宋_GB2312" w:cs="仿宋_GB2312"/>
          <w:sz w:val="32"/>
          <w:szCs w:val="32"/>
        </w:rPr>
        <w:t>产业扶贫技术帮扶工作由沙坡头区农业农村局和自然资源局采取定期检查和不定期督查相结合、入户调查和核对培训资料相结合的方式，加大督查力度，及时掌握技术服务进展情况。对技术服务不及时、指导时间少、效果不明显的服务组进行通报批评；对技术服务成效显著、群众满意度高的服务进行通报表扬，推广好经验、好做法。各产业扶贫技术服务组要将工作情况一季度一小结、一年一总结，报区农业农村局，每季度最后一个月20日前报送季度小结，11月15日前报送年终总结和培训服务的档案资料。</w:t>
      </w:r>
    </w:p>
    <w:p>
      <w:pPr>
        <w:pStyle w:val="2"/>
        <w:spacing w:line="580" w:lineRule="exact"/>
        <w:rPr>
          <w:rFonts w:hint="eastAsia" w:ascii="仿宋_GB2312" w:hAnsi="宋体" w:eastAsia="仿宋_GB2312" w:cs="宋体"/>
          <w:color w:val="333333"/>
          <w:kern w:val="0"/>
          <w:sz w:val="32"/>
          <w:szCs w:val="32"/>
        </w:rPr>
      </w:pPr>
    </w:p>
    <w:p>
      <w:pPr>
        <w:pStyle w:val="2"/>
        <w:spacing w:line="560" w:lineRule="exact"/>
        <w:rPr>
          <w:rFonts w:hint="eastAsia"/>
        </w:rPr>
      </w:pPr>
    </w:p>
    <w:p>
      <w:pPr>
        <w:pStyle w:val="3"/>
        <w:rPr>
          <w:rFonts w:hint="eastAsia"/>
        </w:rPr>
      </w:pPr>
    </w:p>
    <w:tbl>
      <w:tblPr>
        <w:tblStyle w:val="5"/>
        <w:tblW w:w="0" w:type="auto"/>
        <w:tblInd w:w="0" w:type="dxa"/>
        <w:tblLayout w:type="fixed"/>
        <w:tblCellMar>
          <w:top w:w="0" w:type="dxa"/>
          <w:left w:w="0" w:type="dxa"/>
          <w:bottom w:w="0" w:type="dxa"/>
          <w:right w:w="0" w:type="dxa"/>
        </w:tblCellMar>
      </w:tblPr>
      <w:tblGrid>
        <w:gridCol w:w="812"/>
        <w:gridCol w:w="1627"/>
        <w:gridCol w:w="1813"/>
        <w:gridCol w:w="2560"/>
        <w:gridCol w:w="2294"/>
      </w:tblGrid>
      <w:tr>
        <w:tblPrEx>
          <w:tblCellMar>
            <w:top w:w="0" w:type="dxa"/>
            <w:left w:w="0" w:type="dxa"/>
            <w:bottom w:w="0" w:type="dxa"/>
            <w:right w:w="0" w:type="dxa"/>
          </w:tblCellMar>
        </w:tblPrEx>
        <w:trPr>
          <w:trHeight w:val="420" w:hRule="atLeast"/>
        </w:trPr>
        <w:tc>
          <w:tcPr>
            <w:tcW w:w="812" w:type="dxa"/>
            <w:tcBorders>
              <w:top w:val="nil"/>
              <w:left w:val="nil"/>
              <w:bottom w:val="nil"/>
              <w:right w:val="nil"/>
            </w:tcBorders>
            <w:noWrap/>
            <w:tcMar>
              <w:top w:w="12" w:type="dxa"/>
              <w:left w:w="12" w:type="dxa"/>
              <w:right w:w="12" w:type="dxa"/>
            </w:tcMar>
            <w:vAlign w:val="center"/>
          </w:tcPr>
          <w:p>
            <w:pPr>
              <w:widowControl/>
              <w:jc w:val="left"/>
              <w:textAlignment w:val="center"/>
              <w:rPr>
                <w:rFonts w:ascii="黑体" w:hAnsi="宋体" w:eastAsia="黑体" w:cs="黑体"/>
                <w:color w:val="000000"/>
                <w:sz w:val="24"/>
              </w:rPr>
            </w:pPr>
          </w:p>
        </w:tc>
        <w:tc>
          <w:tcPr>
            <w:tcW w:w="1627" w:type="dxa"/>
            <w:tcBorders>
              <w:top w:val="nil"/>
              <w:left w:val="nil"/>
              <w:bottom w:val="nil"/>
              <w:right w:val="nil"/>
            </w:tcBorders>
            <w:noWrap/>
            <w:tcMar>
              <w:top w:w="12" w:type="dxa"/>
              <w:left w:w="12" w:type="dxa"/>
              <w:right w:w="12" w:type="dxa"/>
            </w:tcMar>
            <w:vAlign w:val="center"/>
          </w:tcPr>
          <w:p>
            <w:pPr>
              <w:rPr>
                <w:rFonts w:hint="eastAsia" w:ascii="宋体" w:hAnsi="宋体" w:cs="宋体"/>
                <w:color w:val="000000"/>
                <w:sz w:val="24"/>
              </w:rPr>
            </w:pPr>
          </w:p>
        </w:tc>
        <w:tc>
          <w:tcPr>
            <w:tcW w:w="1813" w:type="dxa"/>
            <w:tcBorders>
              <w:top w:val="nil"/>
              <w:left w:val="nil"/>
              <w:bottom w:val="nil"/>
              <w:right w:val="nil"/>
            </w:tcBorders>
            <w:noWrap/>
            <w:tcMar>
              <w:top w:w="12" w:type="dxa"/>
              <w:left w:w="12" w:type="dxa"/>
              <w:right w:w="12" w:type="dxa"/>
            </w:tcMar>
            <w:vAlign w:val="center"/>
          </w:tcPr>
          <w:p>
            <w:pPr>
              <w:rPr>
                <w:rFonts w:hint="eastAsia" w:ascii="宋体" w:hAnsi="宋体" w:cs="宋体"/>
                <w:color w:val="000000"/>
                <w:sz w:val="24"/>
              </w:rPr>
            </w:pPr>
          </w:p>
        </w:tc>
        <w:tc>
          <w:tcPr>
            <w:tcW w:w="2560" w:type="dxa"/>
            <w:tcBorders>
              <w:top w:val="nil"/>
              <w:left w:val="nil"/>
              <w:bottom w:val="nil"/>
              <w:right w:val="nil"/>
            </w:tcBorders>
            <w:noWrap/>
            <w:tcMar>
              <w:top w:w="12" w:type="dxa"/>
              <w:left w:w="12" w:type="dxa"/>
              <w:right w:w="12" w:type="dxa"/>
            </w:tcMar>
            <w:vAlign w:val="center"/>
          </w:tcPr>
          <w:p>
            <w:pPr>
              <w:rPr>
                <w:rFonts w:hint="eastAsia" w:ascii="宋体" w:hAnsi="宋体" w:cs="宋体"/>
                <w:color w:val="000000"/>
                <w:sz w:val="24"/>
              </w:rPr>
            </w:pPr>
          </w:p>
        </w:tc>
        <w:tc>
          <w:tcPr>
            <w:tcW w:w="2294" w:type="dxa"/>
            <w:tcBorders>
              <w:top w:val="nil"/>
              <w:left w:val="nil"/>
              <w:bottom w:val="nil"/>
              <w:right w:val="nil"/>
            </w:tcBorders>
            <w:noWrap/>
            <w:tcMar>
              <w:top w:w="12" w:type="dxa"/>
              <w:left w:w="12" w:type="dxa"/>
              <w:right w:w="12" w:type="dxa"/>
            </w:tcMar>
            <w:vAlign w:val="center"/>
          </w:tcPr>
          <w:p>
            <w:pPr>
              <w:rPr>
                <w:rFonts w:hint="eastAsia" w:ascii="宋体" w:hAnsi="宋体" w:cs="宋体"/>
                <w:color w:val="000000"/>
                <w:sz w:val="24"/>
              </w:rPr>
            </w:pPr>
          </w:p>
        </w:tc>
      </w:tr>
      <w:tr>
        <w:tblPrEx>
          <w:tblCellMar>
            <w:top w:w="0" w:type="dxa"/>
            <w:left w:w="0" w:type="dxa"/>
            <w:bottom w:w="0" w:type="dxa"/>
            <w:right w:w="0" w:type="dxa"/>
          </w:tblCellMar>
        </w:tblPrEx>
        <w:trPr>
          <w:trHeight w:val="680" w:hRule="atLeast"/>
        </w:trPr>
        <w:tc>
          <w:tcPr>
            <w:tcW w:w="9106" w:type="dxa"/>
            <w:gridSpan w:val="5"/>
            <w:tcBorders>
              <w:top w:val="nil"/>
              <w:left w:val="nil"/>
              <w:bottom w:val="nil"/>
              <w:right w:val="nil"/>
            </w:tcBorders>
            <w:noWrap/>
            <w:tcMar>
              <w:top w:w="12" w:type="dxa"/>
              <w:left w:w="12" w:type="dxa"/>
              <w:right w:w="12" w:type="dxa"/>
            </w:tcMar>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沙坡头区2020年产业扶贫技术服务组名单</w:t>
            </w:r>
          </w:p>
        </w:tc>
      </w:tr>
      <w:tr>
        <w:tblPrEx>
          <w:tblCellMar>
            <w:top w:w="0" w:type="dxa"/>
            <w:left w:w="0" w:type="dxa"/>
            <w:bottom w:w="0" w:type="dxa"/>
            <w:right w:w="0" w:type="dxa"/>
          </w:tblCellMar>
        </w:tblPrEx>
        <w:trPr>
          <w:trHeight w:val="425" w:hRule="atLeast"/>
        </w:trPr>
        <w:tc>
          <w:tcPr>
            <w:tcW w:w="81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序号</w:t>
            </w:r>
          </w:p>
        </w:tc>
        <w:tc>
          <w:tcPr>
            <w:tcW w:w="162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服务组名称</w:t>
            </w:r>
          </w:p>
        </w:tc>
        <w:tc>
          <w:tcPr>
            <w:tcW w:w="437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技术服务组名单</w:t>
            </w:r>
          </w:p>
        </w:tc>
        <w:tc>
          <w:tcPr>
            <w:tcW w:w="229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服务的贫困村</w:t>
            </w:r>
          </w:p>
        </w:tc>
      </w:tr>
      <w:tr>
        <w:tblPrEx>
          <w:tblCellMar>
            <w:top w:w="0" w:type="dxa"/>
            <w:left w:w="0" w:type="dxa"/>
            <w:bottom w:w="0" w:type="dxa"/>
            <w:right w:w="0" w:type="dxa"/>
          </w:tblCellMar>
        </w:tblPrEx>
        <w:trPr>
          <w:trHeight w:val="425" w:hRule="atLeast"/>
        </w:trPr>
        <w:tc>
          <w:tcPr>
            <w:tcW w:w="81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b/>
                <w:color w:val="000000"/>
                <w:sz w:val="24"/>
              </w:rPr>
            </w:pP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b/>
                <w:color w:val="000000"/>
                <w:sz w:val="24"/>
              </w:rPr>
            </w:pPr>
          </w:p>
        </w:tc>
        <w:tc>
          <w:tcPr>
            <w:tcW w:w="18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组长</w:t>
            </w: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组员</w:t>
            </w:r>
          </w:p>
        </w:tc>
        <w:tc>
          <w:tcPr>
            <w:tcW w:w="229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b/>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62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硒砂瓜产业组</w:t>
            </w:r>
          </w:p>
        </w:tc>
        <w:tc>
          <w:tcPr>
            <w:tcW w:w="181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蒋利</w:t>
            </w:r>
            <w:r>
              <w:rPr>
                <w:rFonts w:hint="eastAsia" w:ascii="宋体" w:hAnsi="宋体" w:cs="宋体"/>
                <w:color w:val="000000"/>
                <w:kern w:val="0"/>
                <w:sz w:val="24"/>
                <w:lang w:bidi="ar"/>
              </w:rPr>
              <w:br w:type="textWrapping"/>
            </w: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丁吉文</w:t>
            </w:r>
          </w:p>
        </w:tc>
        <w:tc>
          <w:tcPr>
            <w:tcW w:w="2294" w:type="dxa"/>
            <w:vMerge w:val="restart"/>
            <w:tcBorders>
              <w:top w:val="nil"/>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香山乡梁水村、黄泉村、米粮川村、常乐镇熊水村、永康镇党家水村、校育川村、兴仁镇高庄村、王团村、泰和村、团结村、迎水桥镇长流水村、营盘水村</w:t>
            </w: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郝忠华</w:t>
            </w:r>
          </w:p>
        </w:tc>
        <w:tc>
          <w:tcPr>
            <w:tcW w:w="2294"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高新华</w:t>
            </w:r>
          </w:p>
        </w:tc>
        <w:tc>
          <w:tcPr>
            <w:tcW w:w="2294"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陈  喜</w:t>
            </w:r>
          </w:p>
        </w:tc>
        <w:tc>
          <w:tcPr>
            <w:tcW w:w="2294"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徐守银</w:t>
            </w:r>
          </w:p>
        </w:tc>
        <w:tc>
          <w:tcPr>
            <w:tcW w:w="2294"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张海龙</w:t>
            </w:r>
          </w:p>
        </w:tc>
        <w:tc>
          <w:tcPr>
            <w:tcW w:w="2294"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石根荣</w:t>
            </w:r>
          </w:p>
        </w:tc>
        <w:tc>
          <w:tcPr>
            <w:tcW w:w="2294"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胡志荣</w:t>
            </w:r>
          </w:p>
        </w:tc>
        <w:tc>
          <w:tcPr>
            <w:tcW w:w="2294"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9</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董秉业</w:t>
            </w:r>
          </w:p>
        </w:tc>
        <w:tc>
          <w:tcPr>
            <w:tcW w:w="2294"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张占聪</w:t>
            </w:r>
          </w:p>
        </w:tc>
        <w:tc>
          <w:tcPr>
            <w:tcW w:w="2294"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王玉红</w:t>
            </w:r>
          </w:p>
        </w:tc>
        <w:tc>
          <w:tcPr>
            <w:tcW w:w="2294"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12</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孙国清</w:t>
            </w:r>
          </w:p>
        </w:tc>
        <w:tc>
          <w:tcPr>
            <w:tcW w:w="2294" w:type="dxa"/>
            <w:vMerge w:val="continue"/>
            <w:tcBorders>
              <w:top w:val="nil"/>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13</w:t>
            </w:r>
          </w:p>
        </w:tc>
        <w:tc>
          <w:tcPr>
            <w:tcW w:w="1627" w:type="dxa"/>
            <w:vMerge w:val="restart"/>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苹果产业组</w:t>
            </w:r>
          </w:p>
        </w:tc>
        <w:tc>
          <w:tcPr>
            <w:tcW w:w="181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张翠红</w:t>
            </w:r>
            <w:r>
              <w:rPr>
                <w:rFonts w:hint="eastAsia" w:ascii="宋体" w:hAnsi="宋体" w:cs="宋体"/>
                <w:color w:val="000000"/>
                <w:kern w:val="0"/>
                <w:sz w:val="24"/>
                <w:lang w:bidi="ar"/>
              </w:rPr>
              <w:br w:type="textWrapping"/>
            </w: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 xml:space="preserve">李  元 </w:t>
            </w:r>
          </w:p>
        </w:tc>
        <w:tc>
          <w:tcPr>
            <w:tcW w:w="2294" w:type="dxa"/>
            <w:vMerge w:val="restart"/>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宣和镇海和村、兴海村、华和村</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永和村、永康镇永乐村</w:t>
            </w: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14</w:t>
            </w:r>
          </w:p>
        </w:tc>
        <w:tc>
          <w:tcPr>
            <w:tcW w:w="1627" w:type="dxa"/>
            <w:vMerge w:val="continue"/>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岳芬芬</w:t>
            </w:r>
          </w:p>
        </w:tc>
        <w:tc>
          <w:tcPr>
            <w:tcW w:w="2294"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15</w:t>
            </w:r>
          </w:p>
        </w:tc>
        <w:tc>
          <w:tcPr>
            <w:tcW w:w="1627" w:type="dxa"/>
            <w:vMerge w:val="continue"/>
            <w:tcBorders>
              <w:top w:val="single" w:color="000000" w:sz="4" w:space="0"/>
              <w:left w:val="single" w:color="000000" w:sz="4" w:space="0"/>
              <w:bottom w:val="nil"/>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马田田</w:t>
            </w:r>
          </w:p>
        </w:tc>
        <w:tc>
          <w:tcPr>
            <w:tcW w:w="2294" w:type="dxa"/>
            <w:vMerge w:val="continue"/>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16</w:t>
            </w:r>
          </w:p>
        </w:tc>
        <w:tc>
          <w:tcPr>
            <w:tcW w:w="162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枸杞产业组</w:t>
            </w:r>
          </w:p>
        </w:tc>
        <w:tc>
          <w:tcPr>
            <w:tcW w:w="181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赵顺山</w:t>
            </w:r>
            <w:r>
              <w:rPr>
                <w:rFonts w:hint="eastAsia" w:ascii="宋体" w:hAnsi="宋体" w:cs="宋体"/>
                <w:color w:val="000000"/>
                <w:kern w:val="0"/>
                <w:sz w:val="24"/>
                <w:lang w:bidi="ar"/>
              </w:rPr>
              <w:br w:type="textWrapping"/>
            </w: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 xml:space="preserve">李  元 </w:t>
            </w:r>
          </w:p>
        </w:tc>
        <w:tc>
          <w:tcPr>
            <w:tcW w:w="229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兴仁镇兴盛村、川裕村、宣和镇汪园村、迎水桥镇孟家湾村</w:t>
            </w: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17</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岳芬芬</w:t>
            </w:r>
          </w:p>
        </w:tc>
        <w:tc>
          <w:tcPr>
            <w:tcW w:w="229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18</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马田田</w:t>
            </w:r>
          </w:p>
        </w:tc>
        <w:tc>
          <w:tcPr>
            <w:tcW w:w="229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19</w:t>
            </w:r>
          </w:p>
        </w:tc>
        <w:tc>
          <w:tcPr>
            <w:tcW w:w="162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草畜产业组</w:t>
            </w:r>
          </w:p>
        </w:tc>
        <w:tc>
          <w:tcPr>
            <w:tcW w:w="181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何凤彪</w:t>
            </w:r>
            <w:r>
              <w:rPr>
                <w:rFonts w:hint="eastAsia" w:ascii="宋体" w:hAnsi="宋体" w:cs="宋体"/>
                <w:color w:val="000000"/>
                <w:kern w:val="0"/>
                <w:sz w:val="24"/>
                <w:lang w:bidi="ar"/>
              </w:rPr>
              <w:br w:type="textWrapping"/>
            </w: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拓守珍</w:t>
            </w:r>
          </w:p>
        </w:tc>
        <w:tc>
          <w:tcPr>
            <w:tcW w:w="229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香山乡黄套村、常乐镇康乐村、思乐村、海乐村、迎水桥镇鸣沙村、南长滩村</w:t>
            </w: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何培正</w:t>
            </w:r>
          </w:p>
        </w:tc>
        <w:tc>
          <w:tcPr>
            <w:tcW w:w="229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21</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柏  丽</w:t>
            </w:r>
          </w:p>
        </w:tc>
        <w:tc>
          <w:tcPr>
            <w:tcW w:w="229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22</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沈君平</w:t>
            </w:r>
          </w:p>
        </w:tc>
        <w:tc>
          <w:tcPr>
            <w:tcW w:w="229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425" w:hRule="atLeast"/>
        </w:trPr>
        <w:tc>
          <w:tcPr>
            <w:tcW w:w="8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23</w:t>
            </w:r>
          </w:p>
        </w:tc>
        <w:tc>
          <w:tcPr>
            <w:tcW w:w="162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cs="宋体"/>
                <w:color w:val="000000"/>
                <w:sz w:val="24"/>
              </w:rPr>
            </w:pPr>
          </w:p>
        </w:tc>
        <w:tc>
          <w:tcPr>
            <w:tcW w:w="181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c>
          <w:tcPr>
            <w:tcW w:w="25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冯建刚</w:t>
            </w:r>
          </w:p>
        </w:tc>
        <w:tc>
          <w:tcPr>
            <w:tcW w:w="229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cs="宋体"/>
                <w:color w:val="000000"/>
                <w:sz w:val="24"/>
              </w:rPr>
            </w:pPr>
          </w:p>
        </w:tc>
      </w:tr>
    </w:tbl>
    <w:p>
      <w:pPr>
        <w:pStyle w:val="3"/>
        <w:rPr>
          <w:rFonts w:hint="eastAsia"/>
        </w:rPr>
      </w:pPr>
    </w:p>
    <w:p>
      <w:pPr>
        <w:pStyle w:val="3"/>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13FDF"/>
    <w:rsid w:val="56213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2020-03-02T01:16:00Z</dcterms:created>
  <dc:creator>武鹏飞</dc:creator>
  <cp:lastModifiedBy>武鹏飞</cp:lastModifiedBy>
  <dcterms:modified xsi:type="dcterms:W3CDTF">2020-03-02T01:19:02Z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