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附件4</w:t>
      </w:r>
    </w:p>
    <w:p>
      <w:pPr>
        <w:jc w:val="center"/>
        <w:rPr>
          <w:rFonts w:hint="eastAsia" w:ascii="方正小标宋_GBK" w:hAnsi="方正小标宋_GBK" w:eastAsia="方正小标宋_GBK" w:cs="方正小标宋_GBK"/>
          <w:color w:val="auto"/>
          <w:spacing w:val="-6"/>
          <w:sz w:val="44"/>
          <w:szCs w:val="44"/>
        </w:rPr>
      </w:pPr>
      <w:bookmarkStart w:id="0" w:name="_GoBack"/>
      <w:r>
        <w:rPr>
          <w:rFonts w:hint="eastAsia" w:ascii="方正小标宋_GBK" w:hAnsi="方正小标宋_GBK" w:eastAsia="方正小标宋_GBK" w:cs="方正小标宋_GBK"/>
          <w:i w:val="0"/>
          <w:color w:val="auto"/>
          <w:spacing w:val="-6"/>
          <w:kern w:val="0"/>
          <w:sz w:val="44"/>
          <w:szCs w:val="44"/>
          <w:u w:val="none"/>
          <w:lang w:val="en-US" w:eastAsia="zh-CN" w:bidi="ar"/>
        </w:rPr>
        <w:t>2024年度中卫市</w:t>
      </w:r>
      <w:r>
        <w:rPr>
          <w:rFonts w:hint="eastAsia" w:ascii="方正小标宋_GBK" w:hAnsi="方正小标宋_GBK" w:eastAsia="方正小标宋_GBK" w:cs="方正小标宋_GBK"/>
          <w:spacing w:val="-6"/>
          <w:sz w:val="44"/>
          <w:szCs w:val="44"/>
          <w:lang w:val="en-US" w:eastAsia="zh-CN"/>
        </w:rPr>
        <w:t>沙坡头区农业农村</w:t>
      </w:r>
      <w:r>
        <w:rPr>
          <w:rFonts w:hint="eastAsia" w:ascii="方正小标宋_GBK" w:hAnsi="方正小标宋_GBK" w:eastAsia="方正小标宋_GBK" w:cs="方正小标宋_GBK"/>
          <w:i w:val="0"/>
          <w:color w:val="auto"/>
          <w:spacing w:val="-6"/>
          <w:kern w:val="0"/>
          <w:sz w:val="44"/>
          <w:szCs w:val="44"/>
          <w:u w:val="none"/>
          <w:lang w:val="en-US" w:eastAsia="zh-CN" w:bidi="ar"/>
        </w:rPr>
        <w:t>领域部门联合随机抽查工作计划</w:t>
      </w:r>
      <w:bookmarkEnd w:id="0"/>
    </w:p>
    <w:p>
      <w:pPr>
        <w:rPr>
          <w:rFonts w:hint="default"/>
          <w:lang w:val="en-US" w:eastAsia="zh-CN"/>
        </w:rPr>
      </w:pPr>
    </w:p>
    <w:tbl>
      <w:tblPr>
        <w:tblStyle w:val="4"/>
        <w:tblW w:w="1296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67"/>
        <w:gridCol w:w="1738"/>
        <w:gridCol w:w="2531"/>
        <w:gridCol w:w="1023"/>
        <w:gridCol w:w="2767"/>
        <w:gridCol w:w="919"/>
        <w:gridCol w:w="1116"/>
        <w:gridCol w:w="766"/>
        <w:gridCol w:w="870"/>
        <w:gridCol w:w="8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9" w:hRule="atLeast"/>
        </w:trPr>
        <w:tc>
          <w:tcPr>
            <w:tcW w:w="3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序号</w:t>
            </w:r>
          </w:p>
        </w:tc>
        <w:tc>
          <w:tcPr>
            <w:tcW w:w="17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抽查领域</w:t>
            </w:r>
          </w:p>
        </w:tc>
        <w:tc>
          <w:tcPr>
            <w:tcW w:w="25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抽查事项</w:t>
            </w:r>
          </w:p>
        </w:tc>
        <w:tc>
          <w:tcPr>
            <w:tcW w:w="10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kern w:val="0"/>
                <w:sz w:val="15"/>
                <w:szCs w:val="15"/>
                <w:u w:val="none"/>
                <w:lang w:val="en-US" w:eastAsia="zh-CN" w:bidi="ar"/>
              </w:rPr>
            </w:pPr>
            <w:r>
              <w:rPr>
                <w:rFonts w:hint="eastAsia" w:ascii="宋体" w:hAnsi="宋体" w:eastAsia="宋体" w:cs="宋体"/>
                <w:b/>
                <w:i w:val="0"/>
                <w:color w:val="000000"/>
                <w:kern w:val="0"/>
                <w:sz w:val="15"/>
                <w:szCs w:val="15"/>
                <w:u w:val="none"/>
                <w:lang w:val="en-US" w:eastAsia="zh-CN" w:bidi="ar"/>
              </w:rPr>
              <w:t>抽查比例</w:t>
            </w:r>
          </w:p>
        </w:tc>
        <w:tc>
          <w:tcPr>
            <w:tcW w:w="27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检查对象</w:t>
            </w:r>
          </w:p>
        </w:tc>
        <w:tc>
          <w:tcPr>
            <w:tcW w:w="919"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kern w:val="0"/>
                <w:sz w:val="15"/>
                <w:szCs w:val="15"/>
                <w:u w:val="none"/>
                <w:lang w:val="en-US" w:eastAsia="zh-CN" w:bidi="ar"/>
              </w:rPr>
            </w:pPr>
            <w:r>
              <w:rPr>
                <w:rFonts w:hint="eastAsia" w:ascii="宋体" w:hAnsi="宋体" w:eastAsia="宋体" w:cs="宋体"/>
                <w:b/>
                <w:i w:val="0"/>
                <w:color w:val="000000"/>
                <w:kern w:val="0"/>
                <w:sz w:val="15"/>
                <w:szCs w:val="15"/>
                <w:u w:val="none"/>
                <w:lang w:val="en-US" w:eastAsia="zh-CN" w:bidi="ar"/>
              </w:rPr>
              <w:t>抽查</w:t>
            </w:r>
          </w:p>
          <w:p>
            <w:pPr>
              <w:keepNext w:val="0"/>
              <w:keepLines w:val="0"/>
              <w:widowControl/>
              <w:suppressLineNumbers w:val="0"/>
              <w:jc w:val="center"/>
              <w:textAlignment w:val="center"/>
              <w:rPr>
                <w:rFonts w:hint="eastAsia" w:ascii="宋体" w:hAnsi="宋体" w:eastAsia="宋体" w:cs="宋体"/>
                <w:b/>
                <w:i w:val="0"/>
                <w:color w:val="000000"/>
                <w:kern w:val="0"/>
                <w:sz w:val="15"/>
                <w:szCs w:val="15"/>
                <w:u w:val="none"/>
                <w:lang w:val="en-US" w:eastAsia="zh-CN" w:bidi="ar"/>
              </w:rPr>
            </w:pPr>
            <w:r>
              <w:rPr>
                <w:rFonts w:hint="eastAsia" w:ascii="宋体" w:hAnsi="宋体" w:eastAsia="宋体" w:cs="宋体"/>
                <w:b/>
                <w:i w:val="0"/>
                <w:color w:val="000000"/>
                <w:kern w:val="0"/>
                <w:sz w:val="15"/>
                <w:szCs w:val="15"/>
                <w:u w:val="none"/>
                <w:lang w:val="en-US" w:eastAsia="zh-CN" w:bidi="ar"/>
              </w:rPr>
              <w:t>类型</w:t>
            </w:r>
          </w:p>
        </w:tc>
        <w:tc>
          <w:tcPr>
            <w:tcW w:w="11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发起部门</w:t>
            </w:r>
          </w:p>
        </w:tc>
        <w:tc>
          <w:tcPr>
            <w:tcW w:w="7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配合部门</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kern w:val="0"/>
                <w:sz w:val="15"/>
                <w:szCs w:val="15"/>
                <w:u w:val="none"/>
                <w:lang w:val="en-US" w:eastAsia="zh-CN" w:bidi="ar"/>
              </w:rPr>
            </w:pPr>
            <w:r>
              <w:rPr>
                <w:rFonts w:hint="eastAsia" w:ascii="宋体" w:hAnsi="宋体" w:eastAsia="宋体" w:cs="宋体"/>
                <w:b/>
                <w:i w:val="0"/>
                <w:color w:val="000000"/>
                <w:kern w:val="0"/>
                <w:sz w:val="15"/>
                <w:szCs w:val="15"/>
                <w:u w:val="none"/>
                <w:lang w:val="en-US" w:eastAsia="zh-CN" w:bidi="ar"/>
              </w:rPr>
              <w:t>完成时限</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kern w:val="0"/>
                <w:sz w:val="15"/>
                <w:szCs w:val="15"/>
                <w:u w:val="none"/>
                <w:lang w:val="en-US" w:eastAsia="zh-CN" w:bidi="ar"/>
              </w:rPr>
            </w:pPr>
            <w:r>
              <w:rPr>
                <w:rFonts w:hint="eastAsia" w:ascii="仿宋_GB2312" w:hAnsi="仿宋_GB2312" w:eastAsia="仿宋_GB2312" w:cs="仿宋_GB2312"/>
                <w:b/>
                <w:bCs w:val="0"/>
                <w:i w:val="0"/>
                <w:color w:val="auto"/>
                <w:kern w:val="0"/>
                <w:sz w:val="18"/>
                <w:szCs w:val="18"/>
                <w:u w:val="none"/>
                <w:lang w:val="en-US" w:eastAsia="zh-CN" w:bidi="ar"/>
              </w:rPr>
              <w:t>备注（责任中心、队、室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367" w:type="dxa"/>
            <w:vMerge w:val="restart"/>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default" w:ascii="Times New Roman" w:hAnsi="Times New Roman" w:eastAsia="仿宋_GB2312" w:cs="Times New Roman"/>
                <w:b w:val="0"/>
                <w:bCs/>
                <w:color w:val="auto"/>
                <w:sz w:val="18"/>
                <w:szCs w:val="18"/>
                <w:shd w:val="clear" w:color="auto" w:fill="FFFFFF"/>
                <w:lang w:val="en-US" w:eastAsia="zh-CN"/>
              </w:rPr>
            </w:pPr>
            <w:r>
              <w:rPr>
                <w:rFonts w:hint="eastAsia" w:ascii="Times New Roman" w:hAnsi="Times New Roman" w:eastAsia="仿宋_GB2312" w:cs="Times New Roman"/>
                <w:b w:val="0"/>
                <w:bCs/>
                <w:color w:val="auto"/>
                <w:sz w:val="18"/>
                <w:szCs w:val="18"/>
                <w:shd w:val="clear" w:color="auto" w:fill="FFFFFF"/>
                <w:lang w:val="en-US" w:eastAsia="zh-CN"/>
              </w:rPr>
              <w:t>1</w:t>
            </w:r>
          </w:p>
        </w:tc>
        <w:tc>
          <w:tcPr>
            <w:tcW w:w="1738" w:type="dxa"/>
            <w:vMerge w:val="restart"/>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b w:val="0"/>
                <w:bCs/>
                <w:color w:val="auto"/>
                <w:sz w:val="16"/>
                <w:szCs w:val="16"/>
                <w:shd w:val="clear" w:color="auto" w:fill="FFFFFF"/>
                <w:lang w:val="en-US" w:eastAsia="zh-CN"/>
              </w:rPr>
            </w:pPr>
            <w:r>
              <w:rPr>
                <w:rFonts w:hint="eastAsia" w:ascii="仿宋_GB2312" w:hAnsi="仿宋_GB2312" w:eastAsia="仿宋_GB2312" w:cs="仿宋_GB2312"/>
                <w:b w:val="0"/>
                <w:bCs/>
                <w:color w:val="auto"/>
                <w:sz w:val="16"/>
                <w:szCs w:val="16"/>
                <w:shd w:val="clear" w:color="auto" w:fill="FFFFFF"/>
                <w:lang w:val="en-US" w:eastAsia="zh-CN"/>
              </w:rPr>
              <w:t>农业生产资料监管</w:t>
            </w:r>
          </w:p>
        </w:tc>
        <w:tc>
          <w:tcPr>
            <w:tcW w:w="2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exact"/>
              <w:jc w:val="both"/>
              <w:textAlignment w:val="center"/>
              <w:rPr>
                <w:rFonts w:hint="eastAsia" w:ascii="仿宋_GB2312" w:hAnsi="仿宋_GB2312" w:eastAsia="仿宋_GB2312" w:cs="仿宋_GB2312"/>
                <w:b w:val="0"/>
                <w:bCs/>
                <w:color w:val="auto"/>
                <w:sz w:val="16"/>
                <w:szCs w:val="16"/>
                <w:shd w:val="clear" w:color="auto" w:fill="FFFFFF"/>
                <w:lang w:val="en-US" w:eastAsia="zh-CN"/>
              </w:rPr>
            </w:pPr>
            <w:r>
              <w:rPr>
                <w:rFonts w:hint="eastAsia" w:ascii="仿宋_GB2312" w:hAnsi="仿宋_GB2312" w:eastAsia="仿宋_GB2312" w:cs="仿宋_GB2312"/>
                <w:color w:val="000000"/>
                <w:kern w:val="0"/>
                <w:sz w:val="16"/>
                <w:szCs w:val="16"/>
                <w:lang w:bidi="ar"/>
              </w:rPr>
              <w:t>农药监督检查</w:t>
            </w:r>
          </w:p>
        </w:tc>
        <w:tc>
          <w:tcPr>
            <w:tcW w:w="1023"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仿宋_GB2312" w:hAnsi="仿宋_GB2312" w:eastAsia="仿宋_GB2312" w:cs="仿宋_GB2312"/>
                <w:color w:val="000000"/>
                <w:spacing w:val="-6"/>
                <w:kern w:val="0"/>
                <w:sz w:val="16"/>
                <w:szCs w:val="16"/>
                <w:lang w:val="en-US" w:eastAsia="zh-CN" w:bidi="ar"/>
              </w:rPr>
            </w:pPr>
            <w:r>
              <w:rPr>
                <w:rFonts w:hint="eastAsia" w:ascii="仿宋_GB2312" w:hAnsi="仿宋_GB2312" w:eastAsia="仿宋_GB2312" w:cs="仿宋_GB2312"/>
                <w:color w:val="000000"/>
                <w:spacing w:val="-6"/>
                <w:kern w:val="0"/>
                <w:sz w:val="16"/>
                <w:szCs w:val="16"/>
                <w:lang w:val="en-US" w:eastAsia="zh-CN" w:bidi="ar"/>
              </w:rPr>
              <w:t>5%</w:t>
            </w:r>
          </w:p>
        </w:tc>
        <w:tc>
          <w:tcPr>
            <w:tcW w:w="2767"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exact"/>
              <w:jc w:val="both"/>
              <w:textAlignment w:val="center"/>
              <w:rPr>
                <w:rFonts w:hint="eastAsia" w:ascii="仿宋_GB2312" w:hAnsi="仿宋_GB2312" w:eastAsia="仿宋_GB2312" w:cs="仿宋_GB2312"/>
                <w:b w:val="0"/>
                <w:bCs/>
                <w:color w:val="auto"/>
                <w:sz w:val="16"/>
                <w:szCs w:val="16"/>
                <w:shd w:val="clear" w:color="auto" w:fill="FFFFFF"/>
                <w:lang w:val="en-US" w:eastAsia="zh-CN"/>
              </w:rPr>
            </w:pPr>
            <w:r>
              <w:rPr>
                <w:rFonts w:hint="eastAsia" w:ascii="仿宋_GB2312" w:hAnsi="仿宋_GB2312" w:eastAsia="仿宋_GB2312" w:cs="仿宋_GB2312"/>
                <w:color w:val="000000"/>
                <w:spacing w:val="-6"/>
                <w:kern w:val="0"/>
                <w:sz w:val="16"/>
                <w:szCs w:val="16"/>
                <w:lang w:bidi="ar"/>
              </w:rPr>
              <w:t>农药经营者</w:t>
            </w:r>
          </w:p>
        </w:tc>
        <w:tc>
          <w:tcPr>
            <w:tcW w:w="919"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b w:val="0"/>
                <w:bCs/>
                <w:color w:val="auto"/>
                <w:sz w:val="16"/>
                <w:szCs w:val="16"/>
                <w:shd w:val="clear" w:color="auto" w:fill="FFFFFF"/>
                <w:lang w:val="en-US" w:eastAsia="zh-CN"/>
              </w:rPr>
            </w:pPr>
            <w:r>
              <w:rPr>
                <w:rFonts w:hint="eastAsia" w:ascii="仿宋_GB2312" w:hAnsi="仿宋_GB2312" w:eastAsia="仿宋_GB2312" w:cs="仿宋_GB2312"/>
                <w:b w:val="0"/>
                <w:bCs/>
                <w:color w:val="auto"/>
                <w:sz w:val="16"/>
                <w:szCs w:val="16"/>
                <w:shd w:val="clear" w:color="auto" w:fill="FFFFFF"/>
                <w:lang w:val="en-US" w:eastAsia="zh-CN"/>
              </w:rPr>
              <w:t>不定向</w:t>
            </w:r>
          </w:p>
        </w:tc>
        <w:tc>
          <w:tcPr>
            <w:tcW w:w="1116" w:type="dxa"/>
            <w:vMerge w:val="restart"/>
            <w:tcBorders>
              <w:top w:val="single" w:color="000000" w:sz="4" w:space="0"/>
              <w:left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b w:val="0"/>
                <w:bCs/>
                <w:color w:val="auto"/>
                <w:sz w:val="16"/>
                <w:szCs w:val="16"/>
                <w:shd w:val="clear" w:color="auto" w:fill="FFFFFF"/>
                <w:lang w:val="en-US" w:eastAsia="zh-CN"/>
              </w:rPr>
            </w:pPr>
            <w:r>
              <w:rPr>
                <w:rFonts w:hint="eastAsia" w:ascii="仿宋_GB2312" w:hAnsi="仿宋_GB2312" w:eastAsia="仿宋_GB2312" w:cs="仿宋_GB2312"/>
                <w:b w:val="0"/>
                <w:bCs/>
                <w:color w:val="auto"/>
                <w:sz w:val="16"/>
                <w:szCs w:val="16"/>
                <w:shd w:val="clear" w:color="auto" w:fill="FFFFFF"/>
                <w:lang w:val="en-US" w:eastAsia="zh-CN"/>
              </w:rPr>
              <w:t>沙坡头区</w:t>
            </w:r>
          </w:p>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b w:val="0"/>
                <w:bCs/>
                <w:color w:val="auto"/>
                <w:sz w:val="16"/>
                <w:szCs w:val="16"/>
                <w:shd w:val="clear" w:color="auto" w:fill="FFFFFF"/>
                <w:lang w:val="en-US" w:eastAsia="zh-CN"/>
              </w:rPr>
            </w:pPr>
            <w:r>
              <w:rPr>
                <w:rFonts w:hint="eastAsia" w:ascii="仿宋_GB2312" w:hAnsi="仿宋_GB2312" w:eastAsia="仿宋_GB2312" w:cs="仿宋_GB2312"/>
                <w:b w:val="0"/>
                <w:bCs/>
                <w:color w:val="auto"/>
                <w:sz w:val="16"/>
                <w:szCs w:val="16"/>
                <w:shd w:val="clear" w:color="auto" w:fill="FFFFFF"/>
                <w:lang w:val="en-US" w:eastAsia="zh-CN"/>
              </w:rPr>
              <w:t>农业农村局</w:t>
            </w:r>
          </w:p>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b w:val="0"/>
                <w:bCs/>
                <w:color w:val="auto"/>
                <w:sz w:val="16"/>
                <w:szCs w:val="16"/>
                <w:shd w:val="clear" w:color="auto" w:fill="FFFFFF"/>
                <w:lang w:val="en-US" w:eastAsia="zh-CN"/>
              </w:rPr>
            </w:pPr>
          </w:p>
        </w:tc>
        <w:tc>
          <w:tcPr>
            <w:tcW w:w="766" w:type="dxa"/>
            <w:vMerge w:val="restart"/>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b w:val="0"/>
                <w:bCs/>
                <w:color w:val="auto"/>
                <w:sz w:val="16"/>
                <w:szCs w:val="16"/>
                <w:shd w:val="clear" w:color="auto" w:fill="FFFFFF"/>
                <w:lang w:val="en-US" w:eastAsia="zh-CN"/>
              </w:rPr>
            </w:pPr>
            <w:r>
              <w:rPr>
                <w:rFonts w:hint="eastAsia" w:ascii="仿宋_GB2312" w:hAnsi="仿宋_GB2312" w:eastAsia="仿宋_GB2312" w:cs="仿宋_GB2312"/>
                <w:b w:val="0"/>
                <w:bCs/>
                <w:color w:val="auto"/>
                <w:sz w:val="16"/>
                <w:szCs w:val="16"/>
                <w:shd w:val="clear" w:color="auto" w:fill="FFFFFF"/>
                <w:lang w:val="en-US" w:eastAsia="zh-CN"/>
              </w:rPr>
              <w:t>市场监督管理局沙坡头区分局</w:t>
            </w:r>
          </w:p>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b w:val="0"/>
                <w:bCs/>
                <w:color w:val="auto"/>
                <w:sz w:val="16"/>
                <w:szCs w:val="16"/>
                <w:shd w:val="clear" w:color="auto" w:fill="FFFFFF"/>
                <w:lang w:val="en-US" w:eastAsia="zh-CN"/>
              </w:rPr>
            </w:pPr>
          </w:p>
        </w:tc>
        <w:tc>
          <w:tcPr>
            <w:tcW w:w="870" w:type="dxa"/>
            <w:vMerge w:val="restart"/>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b w:val="0"/>
                <w:bCs/>
                <w:color w:val="auto"/>
                <w:sz w:val="16"/>
                <w:szCs w:val="16"/>
                <w:shd w:val="clear" w:color="auto" w:fill="FFFFFF"/>
                <w:lang w:val="en-US" w:eastAsia="zh-CN"/>
              </w:rPr>
            </w:pPr>
            <w:r>
              <w:rPr>
                <w:rFonts w:hint="eastAsia" w:ascii="仿宋_GB2312" w:hAnsi="仿宋_GB2312" w:eastAsia="仿宋_GB2312" w:cs="仿宋_GB2312"/>
                <w:b w:val="0"/>
                <w:bCs/>
                <w:color w:val="auto"/>
                <w:sz w:val="16"/>
                <w:szCs w:val="16"/>
                <w:shd w:val="clear" w:color="auto" w:fill="FFFFFF"/>
                <w:lang w:val="en-US" w:eastAsia="zh-CN"/>
              </w:rPr>
              <w:t>2024年10月</w:t>
            </w:r>
          </w:p>
        </w:tc>
        <w:tc>
          <w:tcPr>
            <w:tcW w:w="870" w:type="dxa"/>
            <w:vMerge w:val="restart"/>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b w:val="0"/>
                <w:bCs/>
                <w:color w:val="auto"/>
                <w:kern w:val="2"/>
                <w:sz w:val="16"/>
                <w:szCs w:val="16"/>
                <w:shd w:val="clear" w:color="auto" w:fill="FFFFFF"/>
                <w:lang w:val="en-US" w:eastAsia="zh-CN" w:bidi="ar-SA"/>
              </w:rPr>
            </w:pPr>
            <w:r>
              <w:rPr>
                <w:rFonts w:hint="eastAsia" w:ascii="仿宋_GB2312" w:hAnsi="仿宋_GB2312" w:eastAsia="仿宋_GB2312" w:cs="仿宋_GB2312"/>
                <w:sz w:val="16"/>
                <w:szCs w:val="16"/>
                <w:lang w:val="en-US" w:eastAsia="zh-CN"/>
              </w:rPr>
              <w:t>农业技术推广服务中心、畜牧水产中心、执法大队、农建中心、动物疾病预防控制中心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367"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default" w:ascii="Times New Roman" w:hAnsi="Times New Roman" w:eastAsia="仿宋_GB2312" w:cs="Times New Roman"/>
                <w:b w:val="0"/>
                <w:bCs/>
                <w:color w:val="auto"/>
                <w:sz w:val="18"/>
                <w:szCs w:val="18"/>
                <w:shd w:val="clear" w:color="auto" w:fill="FFFFFF"/>
                <w:lang w:val="en-US" w:eastAsia="zh-CN"/>
              </w:rPr>
            </w:pPr>
          </w:p>
        </w:tc>
        <w:tc>
          <w:tcPr>
            <w:tcW w:w="173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b w:val="0"/>
                <w:bCs/>
                <w:color w:val="auto"/>
                <w:sz w:val="16"/>
                <w:szCs w:val="16"/>
                <w:shd w:val="clear" w:color="auto" w:fill="FFFFFF"/>
                <w:lang w:val="en-US" w:eastAsia="zh-CN"/>
              </w:rPr>
            </w:pPr>
          </w:p>
        </w:tc>
        <w:tc>
          <w:tcPr>
            <w:tcW w:w="2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exact"/>
              <w:jc w:val="both"/>
              <w:textAlignment w:val="center"/>
              <w:rPr>
                <w:rFonts w:hint="eastAsia" w:ascii="仿宋_GB2312" w:hAnsi="仿宋_GB2312" w:eastAsia="仿宋_GB2312" w:cs="仿宋_GB2312"/>
                <w:b w:val="0"/>
                <w:bCs/>
                <w:color w:val="auto"/>
                <w:sz w:val="16"/>
                <w:szCs w:val="16"/>
                <w:shd w:val="clear" w:color="auto" w:fill="FFFFFF"/>
                <w:lang w:val="en-US" w:eastAsia="zh-CN"/>
              </w:rPr>
            </w:pPr>
            <w:r>
              <w:rPr>
                <w:rFonts w:hint="eastAsia" w:ascii="仿宋_GB2312" w:hAnsi="仿宋_GB2312" w:eastAsia="仿宋_GB2312" w:cs="仿宋_GB2312"/>
                <w:color w:val="000000"/>
                <w:kern w:val="0"/>
                <w:sz w:val="16"/>
                <w:szCs w:val="16"/>
                <w:lang w:bidi="ar"/>
              </w:rPr>
              <w:t>肥料监督检查</w:t>
            </w:r>
          </w:p>
        </w:tc>
        <w:tc>
          <w:tcPr>
            <w:tcW w:w="1023"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仿宋_GB2312" w:hAnsi="仿宋_GB2312" w:eastAsia="仿宋_GB2312" w:cs="仿宋_GB2312"/>
                <w:color w:val="000000"/>
                <w:kern w:val="0"/>
                <w:sz w:val="16"/>
                <w:szCs w:val="16"/>
                <w:lang w:bidi="ar"/>
              </w:rPr>
            </w:pPr>
          </w:p>
        </w:tc>
        <w:tc>
          <w:tcPr>
            <w:tcW w:w="2767"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exact"/>
              <w:jc w:val="both"/>
              <w:textAlignment w:val="center"/>
              <w:rPr>
                <w:rFonts w:hint="eastAsia" w:ascii="仿宋_GB2312" w:hAnsi="仿宋_GB2312" w:eastAsia="仿宋_GB2312" w:cs="仿宋_GB2312"/>
                <w:b w:val="0"/>
                <w:bCs/>
                <w:color w:val="auto"/>
                <w:sz w:val="16"/>
                <w:szCs w:val="16"/>
                <w:shd w:val="clear" w:color="auto" w:fill="FFFFFF"/>
                <w:lang w:val="en-US" w:eastAsia="zh-CN"/>
              </w:rPr>
            </w:pPr>
            <w:r>
              <w:rPr>
                <w:rFonts w:hint="eastAsia" w:ascii="仿宋_GB2312" w:hAnsi="仿宋_GB2312" w:eastAsia="仿宋_GB2312" w:cs="仿宋_GB2312"/>
                <w:color w:val="000000"/>
                <w:kern w:val="0"/>
                <w:sz w:val="16"/>
                <w:szCs w:val="16"/>
                <w:lang w:bidi="ar"/>
              </w:rPr>
              <w:t>肥料生产经营者</w:t>
            </w:r>
          </w:p>
        </w:tc>
        <w:tc>
          <w:tcPr>
            <w:tcW w:w="919"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b w:val="0"/>
                <w:bCs/>
                <w:color w:val="auto"/>
                <w:sz w:val="16"/>
                <w:szCs w:val="16"/>
                <w:shd w:val="clear" w:color="auto" w:fill="FFFFFF"/>
                <w:lang w:val="en-US" w:eastAsia="zh-CN"/>
              </w:rPr>
            </w:pPr>
          </w:p>
        </w:tc>
        <w:tc>
          <w:tcPr>
            <w:tcW w:w="1116" w:type="dxa"/>
            <w:vMerge w:val="continue"/>
            <w:tcBorders>
              <w:left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b w:val="0"/>
                <w:bCs/>
                <w:color w:val="auto"/>
                <w:sz w:val="16"/>
                <w:szCs w:val="16"/>
                <w:shd w:val="clear" w:color="auto" w:fill="FFFFFF"/>
                <w:lang w:val="en-US" w:eastAsia="zh-CN"/>
              </w:rPr>
            </w:pPr>
          </w:p>
        </w:tc>
        <w:tc>
          <w:tcPr>
            <w:tcW w:w="766"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b w:val="0"/>
                <w:bCs/>
                <w:color w:val="auto"/>
                <w:sz w:val="16"/>
                <w:szCs w:val="16"/>
                <w:shd w:val="clear" w:color="auto" w:fill="FFFFFF"/>
                <w:lang w:val="en-US" w:eastAsia="zh-CN"/>
              </w:rPr>
            </w:pPr>
          </w:p>
        </w:tc>
        <w:tc>
          <w:tcPr>
            <w:tcW w:w="870"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b w:val="0"/>
                <w:bCs/>
                <w:color w:val="auto"/>
                <w:sz w:val="16"/>
                <w:szCs w:val="16"/>
                <w:shd w:val="clear" w:color="auto" w:fill="FFFFFF"/>
                <w:lang w:val="en-US" w:eastAsia="zh-CN"/>
              </w:rPr>
            </w:pPr>
          </w:p>
        </w:tc>
        <w:tc>
          <w:tcPr>
            <w:tcW w:w="870"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b w:val="0"/>
                <w:bCs/>
                <w:color w:val="auto"/>
                <w:sz w:val="16"/>
                <w:szCs w:val="16"/>
                <w:shd w:val="clear" w:color="auto"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367"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Times New Roman" w:hAnsi="Times New Roman" w:eastAsia="仿宋_GB2312" w:cs="Times New Roman"/>
                <w:b w:val="0"/>
                <w:bCs/>
                <w:color w:val="auto"/>
                <w:sz w:val="18"/>
                <w:szCs w:val="18"/>
                <w:shd w:val="clear" w:color="auto" w:fill="FFFFFF"/>
                <w:lang w:val="en-US" w:eastAsia="zh-CN"/>
              </w:rPr>
            </w:pPr>
          </w:p>
        </w:tc>
        <w:tc>
          <w:tcPr>
            <w:tcW w:w="173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b w:val="0"/>
                <w:bCs/>
                <w:color w:val="auto"/>
                <w:sz w:val="16"/>
                <w:szCs w:val="16"/>
                <w:shd w:val="clear" w:color="auto" w:fill="FFFFFF"/>
                <w:lang w:val="en-US" w:eastAsia="zh-CN"/>
              </w:rPr>
            </w:pPr>
          </w:p>
        </w:tc>
        <w:tc>
          <w:tcPr>
            <w:tcW w:w="2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exact"/>
              <w:jc w:val="both"/>
              <w:textAlignment w:val="center"/>
              <w:rPr>
                <w:rFonts w:hint="eastAsia" w:ascii="仿宋_GB2312" w:hAnsi="仿宋_GB2312" w:eastAsia="仿宋_GB2312" w:cs="仿宋_GB2312"/>
                <w:b w:val="0"/>
                <w:bCs/>
                <w:color w:val="auto"/>
                <w:sz w:val="16"/>
                <w:szCs w:val="16"/>
                <w:shd w:val="clear" w:color="auto" w:fill="FFFFFF"/>
              </w:rPr>
            </w:pPr>
            <w:r>
              <w:rPr>
                <w:rFonts w:hint="eastAsia" w:ascii="仿宋_GB2312" w:hAnsi="仿宋_GB2312" w:eastAsia="仿宋_GB2312" w:cs="仿宋_GB2312"/>
                <w:color w:val="000000"/>
                <w:kern w:val="0"/>
                <w:sz w:val="16"/>
                <w:szCs w:val="16"/>
                <w:lang w:bidi="ar"/>
              </w:rPr>
              <w:t>通过农业机械推广鉴定的产品及证书监督检查</w:t>
            </w:r>
          </w:p>
        </w:tc>
        <w:tc>
          <w:tcPr>
            <w:tcW w:w="1023"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仿宋_GB2312" w:hAnsi="仿宋_GB2312" w:eastAsia="仿宋_GB2312" w:cs="仿宋_GB2312"/>
                <w:color w:val="000000"/>
                <w:kern w:val="0"/>
                <w:sz w:val="16"/>
                <w:szCs w:val="16"/>
                <w:lang w:bidi="ar"/>
              </w:rPr>
            </w:pPr>
          </w:p>
        </w:tc>
        <w:tc>
          <w:tcPr>
            <w:tcW w:w="2767"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exact"/>
              <w:jc w:val="both"/>
              <w:textAlignment w:val="center"/>
              <w:rPr>
                <w:rFonts w:hint="eastAsia" w:ascii="仿宋_GB2312" w:hAnsi="仿宋_GB2312" w:eastAsia="仿宋_GB2312" w:cs="仿宋_GB2312"/>
                <w:b w:val="0"/>
                <w:bCs/>
                <w:color w:val="auto"/>
                <w:sz w:val="16"/>
                <w:szCs w:val="16"/>
                <w:shd w:val="clear" w:color="auto" w:fill="FFFFFF"/>
                <w:lang w:val="en-US" w:eastAsia="zh-CN"/>
              </w:rPr>
            </w:pPr>
            <w:r>
              <w:rPr>
                <w:rFonts w:hint="eastAsia" w:ascii="仿宋_GB2312" w:hAnsi="仿宋_GB2312" w:eastAsia="仿宋_GB2312" w:cs="仿宋_GB2312"/>
                <w:color w:val="000000"/>
                <w:kern w:val="0"/>
                <w:sz w:val="16"/>
                <w:szCs w:val="16"/>
                <w:lang w:bidi="ar"/>
              </w:rPr>
              <w:t>农业机械生产经营企业</w:t>
            </w:r>
          </w:p>
        </w:tc>
        <w:tc>
          <w:tcPr>
            <w:tcW w:w="919"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b w:val="0"/>
                <w:bCs/>
                <w:color w:val="auto"/>
                <w:sz w:val="16"/>
                <w:szCs w:val="16"/>
                <w:shd w:val="clear" w:color="auto" w:fill="FFFFFF"/>
                <w:lang w:val="en-US" w:eastAsia="zh-CN"/>
              </w:rPr>
            </w:pPr>
          </w:p>
        </w:tc>
        <w:tc>
          <w:tcPr>
            <w:tcW w:w="1116" w:type="dxa"/>
            <w:vMerge w:val="continue"/>
            <w:tcBorders>
              <w:left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b w:val="0"/>
                <w:bCs/>
                <w:color w:val="auto"/>
                <w:sz w:val="16"/>
                <w:szCs w:val="16"/>
                <w:shd w:val="clear" w:color="auto" w:fill="FFFFFF"/>
                <w:lang w:val="en-US" w:eastAsia="zh-CN"/>
              </w:rPr>
            </w:pPr>
          </w:p>
        </w:tc>
        <w:tc>
          <w:tcPr>
            <w:tcW w:w="766"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b w:val="0"/>
                <w:bCs/>
                <w:color w:val="auto"/>
                <w:sz w:val="16"/>
                <w:szCs w:val="16"/>
                <w:shd w:val="clear" w:color="auto" w:fill="FFFFFF"/>
                <w:lang w:val="en-US" w:eastAsia="zh-CN"/>
              </w:rPr>
            </w:pPr>
          </w:p>
        </w:tc>
        <w:tc>
          <w:tcPr>
            <w:tcW w:w="870"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b w:val="0"/>
                <w:bCs/>
                <w:color w:val="auto"/>
                <w:sz w:val="16"/>
                <w:szCs w:val="16"/>
                <w:shd w:val="clear" w:color="auto" w:fill="FFFFFF"/>
                <w:lang w:val="en-US" w:eastAsia="zh-CN"/>
              </w:rPr>
            </w:pPr>
          </w:p>
        </w:tc>
        <w:tc>
          <w:tcPr>
            <w:tcW w:w="870"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b w:val="0"/>
                <w:bCs/>
                <w:color w:val="auto"/>
                <w:sz w:val="16"/>
                <w:szCs w:val="16"/>
                <w:shd w:val="clear" w:color="auto"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367"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Times New Roman" w:hAnsi="Times New Roman" w:eastAsia="仿宋_GB2312" w:cs="Times New Roman"/>
                <w:b w:val="0"/>
                <w:bCs/>
                <w:color w:val="auto"/>
                <w:sz w:val="18"/>
                <w:szCs w:val="18"/>
                <w:shd w:val="clear" w:color="auto" w:fill="FFFFFF"/>
                <w:lang w:val="en-US" w:eastAsia="zh-CN"/>
              </w:rPr>
            </w:pPr>
          </w:p>
        </w:tc>
        <w:tc>
          <w:tcPr>
            <w:tcW w:w="173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b w:val="0"/>
                <w:bCs/>
                <w:color w:val="auto"/>
                <w:sz w:val="16"/>
                <w:szCs w:val="16"/>
                <w:shd w:val="clear" w:color="auto" w:fill="FFFFFF"/>
                <w:lang w:val="en-US" w:eastAsia="zh-CN"/>
              </w:rPr>
            </w:pPr>
          </w:p>
        </w:tc>
        <w:tc>
          <w:tcPr>
            <w:tcW w:w="2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exact"/>
              <w:jc w:val="both"/>
              <w:textAlignment w:val="center"/>
              <w:rPr>
                <w:rFonts w:hint="eastAsia" w:ascii="仿宋_GB2312" w:hAnsi="仿宋_GB2312" w:eastAsia="仿宋_GB2312" w:cs="仿宋_GB2312"/>
                <w:b w:val="0"/>
                <w:bCs/>
                <w:color w:val="auto"/>
                <w:sz w:val="16"/>
                <w:szCs w:val="16"/>
                <w:shd w:val="clear" w:color="auto" w:fill="FFFFFF"/>
              </w:rPr>
            </w:pPr>
            <w:r>
              <w:rPr>
                <w:rFonts w:hint="eastAsia" w:ascii="仿宋_GB2312" w:hAnsi="仿宋_GB2312" w:eastAsia="仿宋_GB2312" w:cs="仿宋_GB2312"/>
                <w:color w:val="000000"/>
                <w:kern w:val="0"/>
                <w:sz w:val="16"/>
                <w:szCs w:val="16"/>
                <w:lang w:bidi="ar"/>
              </w:rPr>
              <w:t>种子监督检查</w:t>
            </w:r>
          </w:p>
        </w:tc>
        <w:tc>
          <w:tcPr>
            <w:tcW w:w="1023"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仿宋_GB2312" w:hAnsi="仿宋_GB2312" w:eastAsia="仿宋_GB2312" w:cs="仿宋_GB2312"/>
                <w:color w:val="000000"/>
                <w:kern w:val="0"/>
                <w:sz w:val="16"/>
                <w:szCs w:val="16"/>
                <w:lang w:bidi="ar"/>
              </w:rPr>
            </w:pPr>
          </w:p>
        </w:tc>
        <w:tc>
          <w:tcPr>
            <w:tcW w:w="2767"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exact"/>
              <w:jc w:val="both"/>
              <w:textAlignment w:val="center"/>
              <w:rPr>
                <w:rFonts w:hint="eastAsia" w:ascii="仿宋_GB2312" w:hAnsi="仿宋_GB2312" w:eastAsia="仿宋_GB2312" w:cs="仿宋_GB2312"/>
                <w:b w:val="0"/>
                <w:bCs/>
                <w:color w:val="auto"/>
                <w:sz w:val="16"/>
                <w:szCs w:val="16"/>
                <w:shd w:val="clear" w:color="auto" w:fill="FFFFFF"/>
                <w:lang w:val="en-US" w:eastAsia="zh-CN"/>
              </w:rPr>
            </w:pPr>
            <w:r>
              <w:rPr>
                <w:rFonts w:hint="eastAsia" w:ascii="仿宋_GB2312" w:hAnsi="仿宋_GB2312" w:eastAsia="仿宋_GB2312" w:cs="仿宋_GB2312"/>
                <w:color w:val="000000"/>
                <w:kern w:val="0"/>
                <w:sz w:val="16"/>
                <w:szCs w:val="16"/>
                <w:lang w:bidi="ar"/>
              </w:rPr>
              <w:t>种子生产经营者</w:t>
            </w:r>
          </w:p>
        </w:tc>
        <w:tc>
          <w:tcPr>
            <w:tcW w:w="919"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b w:val="0"/>
                <w:bCs/>
                <w:color w:val="auto"/>
                <w:sz w:val="16"/>
                <w:szCs w:val="16"/>
                <w:shd w:val="clear" w:color="auto" w:fill="FFFFFF"/>
                <w:lang w:val="en-US" w:eastAsia="zh-CN"/>
              </w:rPr>
            </w:pPr>
          </w:p>
        </w:tc>
        <w:tc>
          <w:tcPr>
            <w:tcW w:w="1116" w:type="dxa"/>
            <w:vMerge w:val="continue"/>
            <w:tcBorders>
              <w:left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b w:val="0"/>
                <w:bCs/>
                <w:color w:val="auto"/>
                <w:sz w:val="16"/>
                <w:szCs w:val="16"/>
                <w:shd w:val="clear" w:color="auto" w:fill="FFFFFF"/>
                <w:lang w:val="en-US" w:eastAsia="zh-CN"/>
              </w:rPr>
            </w:pPr>
          </w:p>
        </w:tc>
        <w:tc>
          <w:tcPr>
            <w:tcW w:w="766"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b w:val="0"/>
                <w:bCs/>
                <w:color w:val="auto"/>
                <w:sz w:val="16"/>
                <w:szCs w:val="16"/>
                <w:shd w:val="clear" w:color="auto" w:fill="FFFFFF"/>
                <w:lang w:val="en-US" w:eastAsia="zh-CN"/>
              </w:rPr>
            </w:pPr>
          </w:p>
        </w:tc>
        <w:tc>
          <w:tcPr>
            <w:tcW w:w="870"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b w:val="0"/>
                <w:bCs/>
                <w:color w:val="auto"/>
                <w:sz w:val="16"/>
                <w:szCs w:val="16"/>
                <w:shd w:val="clear" w:color="auto" w:fill="FFFFFF"/>
                <w:lang w:val="en-US" w:eastAsia="zh-CN"/>
              </w:rPr>
            </w:pPr>
          </w:p>
        </w:tc>
        <w:tc>
          <w:tcPr>
            <w:tcW w:w="870"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b w:val="0"/>
                <w:bCs/>
                <w:color w:val="auto"/>
                <w:sz w:val="16"/>
                <w:szCs w:val="16"/>
                <w:shd w:val="clear" w:color="auto"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367"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Times New Roman" w:hAnsi="Times New Roman" w:eastAsia="仿宋_GB2312" w:cs="Times New Roman"/>
                <w:b w:val="0"/>
                <w:bCs/>
                <w:color w:val="auto"/>
                <w:sz w:val="18"/>
                <w:szCs w:val="18"/>
                <w:shd w:val="clear" w:color="auto" w:fill="FFFFFF"/>
                <w:lang w:val="en-US" w:eastAsia="zh-CN"/>
              </w:rPr>
            </w:pPr>
          </w:p>
        </w:tc>
        <w:tc>
          <w:tcPr>
            <w:tcW w:w="173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b w:val="0"/>
                <w:bCs/>
                <w:color w:val="auto"/>
                <w:sz w:val="16"/>
                <w:szCs w:val="16"/>
                <w:shd w:val="clear" w:color="auto" w:fill="FFFFFF"/>
                <w:lang w:val="en-US" w:eastAsia="zh-CN"/>
              </w:rPr>
            </w:pPr>
          </w:p>
        </w:tc>
        <w:tc>
          <w:tcPr>
            <w:tcW w:w="2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exact"/>
              <w:jc w:val="both"/>
              <w:textAlignment w:val="center"/>
              <w:rPr>
                <w:rFonts w:hint="eastAsia" w:ascii="仿宋_GB2312" w:hAnsi="仿宋_GB2312" w:eastAsia="仿宋_GB2312" w:cs="仿宋_GB2312"/>
                <w:b w:val="0"/>
                <w:bCs/>
                <w:color w:val="auto"/>
                <w:sz w:val="16"/>
                <w:szCs w:val="16"/>
                <w:shd w:val="clear" w:color="auto" w:fill="FFFFFF"/>
              </w:rPr>
            </w:pPr>
            <w:r>
              <w:rPr>
                <w:rFonts w:hint="eastAsia" w:ascii="仿宋_GB2312" w:hAnsi="仿宋_GB2312" w:eastAsia="仿宋_GB2312" w:cs="仿宋_GB2312"/>
                <w:color w:val="000000"/>
                <w:kern w:val="0"/>
                <w:sz w:val="16"/>
                <w:szCs w:val="16"/>
                <w:lang w:bidi="ar"/>
              </w:rPr>
              <w:t>兽药监督检查</w:t>
            </w:r>
          </w:p>
        </w:tc>
        <w:tc>
          <w:tcPr>
            <w:tcW w:w="1023"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仿宋_GB2312" w:hAnsi="仿宋_GB2312" w:eastAsia="仿宋_GB2312" w:cs="仿宋_GB2312"/>
                <w:color w:val="000000"/>
                <w:kern w:val="0"/>
                <w:sz w:val="16"/>
                <w:szCs w:val="16"/>
                <w:lang w:bidi="ar"/>
              </w:rPr>
            </w:pPr>
          </w:p>
        </w:tc>
        <w:tc>
          <w:tcPr>
            <w:tcW w:w="2767"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exact"/>
              <w:jc w:val="both"/>
              <w:textAlignment w:val="center"/>
              <w:rPr>
                <w:rFonts w:hint="eastAsia" w:ascii="仿宋_GB2312" w:hAnsi="仿宋_GB2312" w:eastAsia="仿宋_GB2312" w:cs="仿宋_GB2312"/>
                <w:b w:val="0"/>
                <w:bCs/>
                <w:color w:val="auto"/>
                <w:sz w:val="16"/>
                <w:szCs w:val="16"/>
                <w:shd w:val="clear" w:color="auto" w:fill="FFFFFF"/>
                <w:lang w:val="en-US" w:eastAsia="zh-CN"/>
              </w:rPr>
            </w:pPr>
            <w:r>
              <w:rPr>
                <w:rFonts w:hint="eastAsia" w:ascii="仿宋_GB2312" w:hAnsi="仿宋_GB2312" w:eastAsia="仿宋_GB2312" w:cs="仿宋_GB2312"/>
                <w:color w:val="000000"/>
                <w:kern w:val="0"/>
                <w:sz w:val="16"/>
                <w:szCs w:val="16"/>
                <w:lang w:bidi="ar"/>
              </w:rPr>
              <w:t>兽药生产经营企业，兽药使用单位</w:t>
            </w:r>
          </w:p>
        </w:tc>
        <w:tc>
          <w:tcPr>
            <w:tcW w:w="919"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b w:val="0"/>
                <w:bCs/>
                <w:color w:val="auto"/>
                <w:sz w:val="16"/>
                <w:szCs w:val="16"/>
                <w:shd w:val="clear" w:color="auto" w:fill="FFFFFF"/>
                <w:lang w:val="en-US" w:eastAsia="zh-CN"/>
              </w:rPr>
            </w:pPr>
          </w:p>
        </w:tc>
        <w:tc>
          <w:tcPr>
            <w:tcW w:w="1116" w:type="dxa"/>
            <w:vMerge w:val="continue"/>
            <w:tcBorders>
              <w:left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b w:val="0"/>
                <w:bCs/>
                <w:color w:val="auto"/>
                <w:sz w:val="16"/>
                <w:szCs w:val="16"/>
                <w:shd w:val="clear" w:color="auto" w:fill="FFFFFF"/>
                <w:lang w:val="en-US" w:eastAsia="zh-CN"/>
              </w:rPr>
            </w:pPr>
          </w:p>
        </w:tc>
        <w:tc>
          <w:tcPr>
            <w:tcW w:w="766"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b w:val="0"/>
                <w:bCs/>
                <w:color w:val="auto"/>
                <w:sz w:val="16"/>
                <w:szCs w:val="16"/>
                <w:shd w:val="clear" w:color="auto" w:fill="FFFFFF"/>
                <w:lang w:val="en-US" w:eastAsia="zh-CN"/>
              </w:rPr>
            </w:pPr>
          </w:p>
        </w:tc>
        <w:tc>
          <w:tcPr>
            <w:tcW w:w="870"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b w:val="0"/>
                <w:bCs/>
                <w:color w:val="auto"/>
                <w:sz w:val="16"/>
                <w:szCs w:val="16"/>
                <w:shd w:val="clear" w:color="auto" w:fill="FFFFFF"/>
                <w:lang w:val="en-US" w:eastAsia="zh-CN"/>
              </w:rPr>
            </w:pPr>
          </w:p>
        </w:tc>
        <w:tc>
          <w:tcPr>
            <w:tcW w:w="870"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b w:val="0"/>
                <w:bCs/>
                <w:color w:val="auto"/>
                <w:sz w:val="16"/>
                <w:szCs w:val="16"/>
                <w:shd w:val="clear" w:color="auto"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367" w:type="dxa"/>
            <w:vMerge w:val="continue"/>
            <w:tcBorders>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Times New Roman" w:hAnsi="Times New Roman" w:eastAsia="仿宋_GB2312" w:cs="Times New Roman"/>
                <w:b w:val="0"/>
                <w:bCs/>
                <w:color w:val="auto"/>
                <w:sz w:val="18"/>
                <w:szCs w:val="18"/>
                <w:shd w:val="clear" w:color="auto" w:fill="FFFFFF"/>
                <w:lang w:val="en-US" w:eastAsia="zh-CN"/>
              </w:rPr>
            </w:pPr>
          </w:p>
        </w:tc>
        <w:tc>
          <w:tcPr>
            <w:tcW w:w="1738" w:type="dxa"/>
            <w:vMerge w:val="continue"/>
            <w:tcBorders>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b w:val="0"/>
                <w:bCs/>
                <w:color w:val="auto"/>
                <w:sz w:val="16"/>
                <w:szCs w:val="16"/>
                <w:shd w:val="clear" w:color="auto" w:fill="FFFFFF"/>
                <w:lang w:val="en-US" w:eastAsia="zh-CN"/>
              </w:rPr>
            </w:pPr>
          </w:p>
        </w:tc>
        <w:tc>
          <w:tcPr>
            <w:tcW w:w="2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exact"/>
              <w:jc w:val="both"/>
              <w:textAlignment w:val="center"/>
              <w:rPr>
                <w:rFonts w:hint="eastAsia" w:ascii="仿宋_GB2312" w:hAnsi="仿宋_GB2312" w:eastAsia="仿宋_GB2312" w:cs="仿宋_GB2312"/>
                <w:b w:val="0"/>
                <w:bCs/>
                <w:color w:val="auto"/>
                <w:sz w:val="16"/>
                <w:szCs w:val="16"/>
                <w:shd w:val="clear" w:color="auto" w:fill="FFFFFF"/>
              </w:rPr>
            </w:pPr>
            <w:r>
              <w:rPr>
                <w:rFonts w:hint="eastAsia" w:ascii="仿宋_GB2312" w:hAnsi="仿宋_GB2312" w:eastAsia="仿宋_GB2312" w:cs="仿宋_GB2312"/>
                <w:color w:val="000000"/>
                <w:kern w:val="0"/>
                <w:sz w:val="16"/>
                <w:szCs w:val="16"/>
                <w:lang w:bidi="ar"/>
              </w:rPr>
              <w:t>饲料、饲料添加剂监督抽查</w:t>
            </w:r>
          </w:p>
        </w:tc>
        <w:tc>
          <w:tcPr>
            <w:tcW w:w="1023"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仿宋_GB2312" w:hAnsi="仿宋_GB2312" w:eastAsia="仿宋_GB2312" w:cs="仿宋_GB2312"/>
                <w:color w:val="000000"/>
                <w:spacing w:val="-6"/>
                <w:kern w:val="0"/>
                <w:sz w:val="16"/>
                <w:szCs w:val="16"/>
                <w:lang w:bidi="ar"/>
              </w:rPr>
            </w:pPr>
          </w:p>
        </w:tc>
        <w:tc>
          <w:tcPr>
            <w:tcW w:w="2767"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exact"/>
              <w:jc w:val="both"/>
              <w:textAlignment w:val="center"/>
              <w:rPr>
                <w:rFonts w:hint="eastAsia" w:ascii="仿宋_GB2312" w:hAnsi="仿宋_GB2312" w:eastAsia="仿宋_GB2312" w:cs="仿宋_GB2312"/>
                <w:b w:val="0"/>
                <w:bCs/>
                <w:color w:val="auto"/>
                <w:sz w:val="16"/>
                <w:szCs w:val="16"/>
                <w:shd w:val="clear" w:color="auto" w:fill="FFFFFF"/>
                <w:lang w:val="en-US" w:eastAsia="zh-CN"/>
              </w:rPr>
            </w:pPr>
            <w:r>
              <w:rPr>
                <w:rFonts w:hint="eastAsia" w:ascii="仿宋_GB2312" w:hAnsi="仿宋_GB2312" w:eastAsia="仿宋_GB2312" w:cs="仿宋_GB2312"/>
                <w:color w:val="000000"/>
                <w:spacing w:val="-6"/>
                <w:kern w:val="0"/>
                <w:sz w:val="16"/>
                <w:szCs w:val="16"/>
                <w:lang w:bidi="ar"/>
              </w:rPr>
              <w:t>饲料和饲料添加剂生产企业和经营企业</w:t>
            </w:r>
          </w:p>
        </w:tc>
        <w:tc>
          <w:tcPr>
            <w:tcW w:w="919"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b w:val="0"/>
                <w:bCs/>
                <w:color w:val="auto"/>
                <w:sz w:val="16"/>
                <w:szCs w:val="16"/>
                <w:shd w:val="clear" w:color="auto" w:fill="FFFFFF"/>
                <w:lang w:val="en-US" w:eastAsia="zh-CN"/>
              </w:rPr>
            </w:pPr>
          </w:p>
        </w:tc>
        <w:tc>
          <w:tcPr>
            <w:tcW w:w="1116" w:type="dxa"/>
            <w:vMerge w:val="continue"/>
            <w:tcBorders>
              <w:left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b w:val="0"/>
                <w:bCs/>
                <w:color w:val="auto"/>
                <w:sz w:val="16"/>
                <w:szCs w:val="16"/>
                <w:shd w:val="clear" w:color="auto" w:fill="FFFFFF"/>
                <w:lang w:val="en-US" w:eastAsia="zh-CN"/>
              </w:rPr>
            </w:pPr>
          </w:p>
        </w:tc>
        <w:tc>
          <w:tcPr>
            <w:tcW w:w="766" w:type="dxa"/>
            <w:vMerge w:val="continue"/>
            <w:tcBorders>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b w:val="0"/>
                <w:bCs/>
                <w:color w:val="auto"/>
                <w:sz w:val="16"/>
                <w:szCs w:val="16"/>
                <w:shd w:val="clear" w:color="auto" w:fill="FFFFFF"/>
                <w:lang w:val="en-US" w:eastAsia="zh-CN"/>
              </w:rPr>
            </w:pPr>
          </w:p>
        </w:tc>
        <w:tc>
          <w:tcPr>
            <w:tcW w:w="870" w:type="dxa"/>
            <w:vMerge w:val="continue"/>
            <w:tcBorders>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b w:val="0"/>
                <w:bCs/>
                <w:color w:val="auto"/>
                <w:sz w:val="16"/>
                <w:szCs w:val="16"/>
                <w:shd w:val="clear" w:color="auto" w:fill="FFFFFF"/>
                <w:lang w:val="en-US" w:eastAsia="zh-CN"/>
              </w:rPr>
            </w:pPr>
          </w:p>
        </w:tc>
        <w:tc>
          <w:tcPr>
            <w:tcW w:w="870" w:type="dxa"/>
            <w:vMerge w:val="continue"/>
            <w:tcBorders>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b w:val="0"/>
                <w:bCs/>
                <w:color w:val="auto"/>
                <w:sz w:val="16"/>
                <w:szCs w:val="16"/>
                <w:shd w:val="clear" w:color="auto"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3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default" w:ascii="Times New Roman" w:hAnsi="Times New Roman" w:eastAsia="仿宋_GB2312" w:cs="Times New Roman"/>
                <w:b w:val="0"/>
                <w:bCs/>
                <w:color w:val="auto"/>
                <w:sz w:val="18"/>
                <w:szCs w:val="18"/>
                <w:shd w:val="clear" w:color="auto" w:fill="FFFFFF"/>
                <w:lang w:val="en-US" w:eastAsia="zh-CN"/>
              </w:rPr>
            </w:pPr>
            <w:r>
              <w:rPr>
                <w:rFonts w:hint="eastAsia" w:ascii="Times New Roman" w:hAnsi="Times New Roman" w:eastAsia="仿宋_GB2312" w:cs="Times New Roman"/>
                <w:b w:val="0"/>
                <w:bCs/>
                <w:color w:val="auto"/>
                <w:sz w:val="18"/>
                <w:szCs w:val="18"/>
                <w:shd w:val="clear" w:color="auto" w:fill="FFFFFF"/>
                <w:lang w:val="en-US" w:eastAsia="zh-CN"/>
              </w:rPr>
              <w:t>2</w:t>
            </w:r>
          </w:p>
        </w:tc>
        <w:tc>
          <w:tcPr>
            <w:tcW w:w="17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仿宋_GB2312" w:hAnsi="仿宋_GB2312" w:eastAsia="仿宋_GB2312" w:cs="仿宋_GB2312"/>
                <w:b w:val="0"/>
                <w:bCs/>
                <w:color w:val="auto"/>
                <w:sz w:val="16"/>
                <w:szCs w:val="16"/>
                <w:shd w:val="clear" w:color="auto" w:fill="FFFFFF"/>
                <w:lang w:val="en-US" w:eastAsia="zh-CN"/>
              </w:rPr>
            </w:pPr>
            <w:r>
              <w:rPr>
                <w:rFonts w:hint="eastAsia" w:ascii="仿宋_GB2312" w:hAnsi="仿宋_GB2312" w:eastAsia="仿宋_GB2312" w:cs="仿宋_GB2312"/>
                <w:color w:val="000000"/>
                <w:kern w:val="0"/>
                <w:sz w:val="16"/>
                <w:szCs w:val="16"/>
                <w:lang w:bidi="ar"/>
              </w:rPr>
              <w:t>农产品质量安全监管</w:t>
            </w:r>
          </w:p>
        </w:tc>
        <w:tc>
          <w:tcPr>
            <w:tcW w:w="2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exact"/>
              <w:jc w:val="both"/>
              <w:textAlignment w:val="center"/>
              <w:rPr>
                <w:rFonts w:hint="eastAsia" w:ascii="仿宋_GB2312" w:hAnsi="仿宋_GB2312" w:eastAsia="仿宋_GB2312" w:cs="仿宋_GB2312"/>
                <w:b w:val="0"/>
                <w:bCs/>
                <w:color w:val="auto"/>
                <w:sz w:val="16"/>
                <w:szCs w:val="16"/>
                <w:shd w:val="clear" w:color="auto" w:fill="FFFFFF"/>
                <w:lang w:val="en-US" w:eastAsia="zh-CN"/>
              </w:rPr>
            </w:pPr>
            <w:r>
              <w:rPr>
                <w:rFonts w:hint="eastAsia" w:ascii="仿宋_GB2312" w:hAnsi="仿宋_GB2312" w:eastAsia="仿宋_GB2312" w:cs="仿宋_GB2312"/>
                <w:color w:val="000000"/>
                <w:kern w:val="0"/>
                <w:sz w:val="16"/>
                <w:szCs w:val="16"/>
                <w:lang w:bidi="ar"/>
              </w:rPr>
              <w:t>农业投入品使用、农产品规范生产、绿色优质农产品标志使用以及食用农产品合格证制度推行等监督检查</w:t>
            </w:r>
          </w:p>
        </w:tc>
        <w:tc>
          <w:tcPr>
            <w:tcW w:w="10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仿宋_GB2312" w:hAnsi="仿宋_GB2312" w:eastAsia="仿宋_GB2312" w:cs="仿宋_GB2312"/>
                <w:color w:val="000000"/>
                <w:kern w:val="0"/>
                <w:sz w:val="16"/>
                <w:szCs w:val="16"/>
                <w:lang w:val="en-US" w:eastAsia="zh-CN" w:bidi="ar"/>
              </w:rPr>
            </w:pPr>
            <w:r>
              <w:rPr>
                <w:rFonts w:hint="eastAsia" w:ascii="仿宋_GB2312" w:hAnsi="仿宋_GB2312" w:eastAsia="仿宋_GB2312" w:cs="仿宋_GB2312"/>
                <w:color w:val="000000"/>
                <w:kern w:val="0"/>
                <w:sz w:val="16"/>
                <w:szCs w:val="16"/>
                <w:lang w:val="en-US" w:eastAsia="zh-CN" w:bidi="ar"/>
              </w:rPr>
              <w:t>5%</w:t>
            </w:r>
          </w:p>
        </w:tc>
        <w:tc>
          <w:tcPr>
            <w:tcW w:w="27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exact"/>
              <w:jc w:val="both"/>
              <w:textAlignment w:val="center"/>
              <w:rPr>
                <w:rFonts w:hint="eastAsia" w:ascii="仿宋_GB2312" w:hAnsi="仿宋_GB2312" w:eastAsia="仿宋_GB2312" w:cs="仿宋_GB2312"/>
                <w:b w:val="0"/>
                <w:bCs/>
                <w:color w:val="auto"/>
                <w:sz w:val="16"/>
                <w:szCs w:val="16"/>
                <w:shd w:val="clear" w:color="auto" w:fill="FFFFFF"/>
                <w:lang w:val="en-US" w:eastAsia="zh-CN"/>
              </w:rPr>
            </w:pPr>
            <w:r>
              <w:rPr>
                <w:rFonts w:hint="eastAsia" w:ascii="仿宋_GB2312" w:hAnsi="仿宋_GB2312" w:eastAsia="仿宋_GB2312" w:cs="仿宋_GB2312"/>
                <w:color w:val="000000"/>
                <w:kern w:val="0"/>
                <w:sz w:val="16"/>
                <w:szCs w:val="16"/>
                <w:lang w:bidi="ar"/>
              </w:rPr>
              <w:t>从事农业投入品生产经营者，农业企业、合作社等农业生产经营主体</w:t>
            </w:r>
          </w:p>
        </w:tc>
        <w:tc>
          <w:tcPr>
            <w:tcW w:w="919" w:type="dxa"/>
            <w:tcBorders>
              <w:top w:val="single" w:color="auto" w:sz="4" w:space="0"/>
              <w:left w:val="single" w:color="000000" w:sz="4" w:space="0"/>
              <w:bottom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b w:val="0"/>
                <w:bCs/>
                <w:color w:val="auto"/>
                <w:sz w:val="16"/>
                <w:szCs w:val="16"/>
                <w:shd w:val="clear" w:color="auto" w:fill="FFFFFF"/>
                <w:lang w:val="en-US" w:eastAsia="zh-CN"/>
              </w:rPr>
            </w:pPr>
            <w:r>
              <w:rPr>
                <w:rFonts w:hint="eastAsia" w:ascii="仿宋_GB2312" w:hAnsi="仿宋_GB2312" w:eastAsia="仿宋_GB2312" w:cs="仿宋_GB2312"/>
                <w:b w:val="0"/>
                <w:bCs/>
                <w:color w:val="auto"/>
                <w:sz w:val="16"/>
                <w:szCs w:val="16"/>
                <w:shd w:val="clear" w:color="auto" w:fill="FFFFFF"/>
                <w:lang w:val="en-US" w:eastAsia="zh-CN"/>
              </w:rPr>
              <w:t>不定向</w:t>
            </w:r>
          </w:p>
        </w:tc>
        <w:tc>
          <w:tcPr>
            <w:tcW w:w="1116"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b w:val="0"/>
                <w:bCs/>
                <w:color w:val="auto"/>
                <w:sz w:val="16"/>
                <w:szCs w:val="16"/>
                <w:shd w:val="clear" w:color="auto" w:fill="FFFFFF"/>
                <w:lang w:val="en-US" w:eastAsia="zh-CN"/>
              </w:rPr>
            </w:pPr>
            <w:r>
              <w:rPr>
                <w:rFonts w:hint="eastAsia" w:ascii="仿宋_GB2312" w:hAnsi="仿宋_GB2312" w:eastAsia="仿宋_GB2312" w:cs="仿宋_GB2312"/>
                <w:b w:val="0"/>
                <w:bCs/>
                <w:color w:val="auto"/>
                <w:sz w:val="16"/>
                <w:szCs w:val="16"/>
                <w:shd w:val="clear" w:color="auto" w:fill="FFFFFF"/>
                <w:lang w:val="en-US" w:eastAsia="zh-CN"/>
              </w:rPr>
              <w:t>沙坡头区</w:t>
            </w:r>
          </w:p>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b w:val="0"/>
                <w:bCs/>
                <w:color w:val="auto"/>
                <w:sz w:val="16"/>
                <w:szCs w:val="16"/>
                <w:shd w:val="clear" w:color="auto" w:fill="FFFFFF"/>
                <w:lang w:val="en-US" w:eastAsia="zh-CN"/>
              </w:rPr>
            </w:pPr>
            <w:r>
              <w:rPr>
                <w:rFonts w:hint="eastAsia" w:ascii="仿宋_GB2312" w:hAnsi="仿宋_GB2312" w:eastAsia="仿宋_GB2312" w:cs="仿宋_GB2312"/>
                <w:b w:val="0"/>
                <w:bCs/>
                <w:color w:val="auto"/>
                <w:sz w:val="16"/>
                <w:szCs w:val="16"/>
                <w:shd w:val="clear" w:color="auto" w:fill="FFFFFF"/>
                <w:lang w:val="en-US" w:eastAsia="zh-CN"/>
              </w:rPr>
              <w:t>农业农村局</w:t>
            </w:r>
          </w:p>
        </w:tc>
        <w:tc>
          <w:tcPr>
            <w:tcW w:w="766"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b w:val="0"/>
                <w:bCs/>
                <w:color w:val="auto"/>
                <w:sz w:val="16"/>
                <w:szCs w:val="16"/>
                <w:shd w:val="clear" w:color="auto" w:fill="FFFFFF"/>
                <w:lang w:val="en-US" w:eastAsia="zh-CN"/>
              </w:rPr>
            </w:pPr>
            <w:r>
              <w:rPr>
                <w:rFonts w:hint="eastAsia" w:ascii="仿宋_GB2312" w:hAnsi="仿宋_GB2312" w:eastAsia="仿宋_GB2312" w:cs="仿宋_GB2312"/>
                <w:b w:val="0"/>
                <w:bCs/>
                <w:color w:val="auto"/>
                <w:sz w:val="16"/>
                <w:szCs w:val="16"/>
                <w:shd w:val="clear" w:color="auto" w:fill="FFFFFF"/>
                <w:lang w:val="en-US" w:eastAsia="zh-CN"/>
              </w:rPr>
              <w:t>市场监督管理局沙坡头区分局</w:t>
            </w:r>
          </w:p>
        </w:tc>
        <w:tc>
          <w:tcPr>
            <w:tcW w:w="870"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b w:val="0"/>
                <w:bCs/>
                <w:color w:val="auto"/>
                <w:sz w:val="16"/>
                <w:szCs w:val="16"/>
                <w:shd w:val="clear" w:color="auto" w:fill="FFFFFF"/>
                <w:lang w:val="en-US" w:eastAsia="zh-CN"/>
              </w:rPr>
            </w:pPr>
            <w:r>
              <w:rPr>
                <w:rFonts w:hint="eastAsia" w:ascii="仿宋_GB2312" w:hAnsi="仿宋_GB2312" w:eastAsia="仿宋_GB2312" w:cs="仿宋_GB2312"/>
                <w:b w:val="0"/>
                <w:bCs/>
                <w:color w:val="auto"/>
                <w:sz w:val="16"/>
                <w:szCs w:val="16"/>
                <w:shd w:val="clear" w:color="auto" w:fill="FFFFFF"/>
                <w:lang w:val="en-US" w:eastAsia="zh-CN"/>
              </w:rPr>
              <w:t>2024年10月</w:t>
            </w:r>
          </w:p>
        </w:tc>
        <w:tc>
          <w:tcPr>
            <w:tcW w:w="870"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default" w:ascii="仿宋_GB2312" w:hAnsi="仿宋_GB2312" w:eastAsia="仿宋_GB2312" w:cs="仿宋_GB2312"/>
                <w:b w:val="0"/>
                <w:bCs/>
                <w:color w:val="auto"/>
                <w:kern w:val="2"/>
                <w:sz w:val="16"/>
                <w:szCs w:val="16"/>
                <w:shd w:val="clear" w:color="auto" w:fill="FFFFFF"/>
                <w:lang w:val="en-US" w:eastAsia="zh-CN" w:bidi="ar-SA"/>
              </w:rPr>
            </w:pPr>
            <w:r>
              <w:rPr>
                <w:rFonts w:hint="eastAsia" w:ascii="仿宋_GB2312" w:hAnsi="仿宋_GB2312" w:eastAsia="仿宋_GB2312" w:cs="仿宋_GB2312"/>
                <w:sz w:val="16"/>
                <w:szCs w:val="16"/>
                <w:lang w:val="en-US" w:eastAsia="zh-CN"/>
              </w:rPr>
              <w:t>农业技术推广服务中心、执法大队、项目办公室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367" w:type="dxa"/>
            <w:vMerge w:val="restart"/>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default" w:ascii="Times New Roman" w:hAnsi="Times New Roman" w:eastAsia="仿宋_GB2312" w:cs="Times New Roman"/>
                <w:b w:val="0"/>
                <w:bCs/>
                <w:color w:val="auto"/>
                <w:sz w:val="18"/>
                <w:szCs w:val="18"/>
                <w:shd w:val="clear" w:color="auto" w:fill="FFFFFF"/>
                <w:lang w:val="en-US" w:eastAsia="zh-CN"/>
              </w:rPr>
            </w:pPr>
            <w:r>
              <w:rPr>
                <w:rFonts w:hint="eastAsia" w:ascii="Times New Roman" w:hAnsi="Times New Roman" w:eastAsia="仿宋_GB2312" w:cs="Times New Roman"/>
                <w:b w:val="0"/>
                <w:bCs/>
                <w:color w:val="auto"/>
                <w:sz w:val="18"/>
                <w:szCs w:val="18"/>
                <w:shd w:val="clear" w:color="auto" w:fill="FFFFFF"/>
                <w:lang w:val="en-US" w:eastAsia="zh-CN"/>
              </w:rPr>
              <w:t>3</w:t>
            </w:r>
          </w:p>
        </w:tc>
        <w:tc>
          <w:tcPr>
            <w:tcW w:w="1738"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仿宋_GB2312" w:hAnsi="仿宋_GB2312" w:eastAsia="仿宋_GB2312" w:cs="仿宋_GB2312"/>
                <w:b w:val="0"/>
                <w:bCs/>
                <w:color w:val="auto"/>
                <w:sz w:val="16"/>
                <w:szCs w:val="16"/>
                <w:shd w:val="clear" w:color="auto" w:fill="FFFFFF"/>
                <w:lang w:val="en-US" w:eastAsia="zh-CN"/>
              </w:rPr>
            </w:pPr>
            <w:r>
              <w:rPr>
                <w:rFonts w:hint="eastAsia" w:ascii="仿宋_GB2312" w:hAnsi="仿宋_GB2312" w:eastAsia="仿宋_GB2312" w:cs="仿宋_GB2312"/>
                <w:color w:val="000000"/>
                <w:kern w:val="0"/>
                <w:sz w:val="16"/>
                <w:szCs w:val="16"/>
                <w:lang w:bidi="ar"/>
              </w:rPr>
              <w:t>牲畜、水生野生动物养殖加工情况的检查</w:t>
            </w:r>
          </w:p>
        </w:tc>
        <w:tc>
          <w:tcPr>
            <w:tcW w:w="2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exact"/>
              <w:jc w:val="both"/>
              <w:textAlignment w:val="center"/>
              <w:rPr>
                <w:rFonts w:hint="eastAsia" w:ascii="仿宋_GB2312" w:hAnsi="仿宋_GB2312" w:eastAsia="仿宋_GB2312" w:cs="仿宋_GB2312"/>
                <w:b w:val="0"/>
                <w:bCs/>
                <w:color w:val="auto"/>
                <w:sz w:val="16"/>
                <w:szCs w:val="16"/>
                <w:shd w:val="clear" w:color="auto" w:fill="FFFFFF"/>
                <w:lang w:val="en-US" w:eastAsia="zh-CN"/>
              </w:rPr>
            </w:pPr>
            <w:r>
              <w:rPr>
                <w:rFonts w:hint="eastAsia" w:ascii="仿宋_GB2312" w:hAnsi="仿宋_GB2312" w:eastAsia="仿宋_GB2312" w:cs="仿宋_GB2312"/>
                <w:color w:val="000000"/>
                <w:kern w:val="0"/>
                <w:sz w:val="16"/>
                <w:szCs w:val="16"/>
                <w:lang w:bidi="ar"/>
              </w:rPr>
              <w:t>种畜禽质量监督检查</w:t>
            </w:r>
          </w:p>
        </w:tc>
        <w:tc>
          <w:tcPr>
            <w:tcW w:w="1023"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仿宋_GB2312" w:hAnsi="仿宋_GB2312" w:eastAsia="仿宋_GB2312" w:cs="仿宋_GB2312"/>
                <w:color w:val="000000"/>
                <w:kern w:val="0"/>
                <w:sz w:val="16"/>
                <w:szCs w:val="16"/>
                <w:lang w:val="en-US" w:eastAsia="zh-CN" w:bidi="ar"/>
              </w:rPr>
            </w:pPr>
            <w:r>
              <w:rPr>
                <w:rFonts w:hint="eastAsia" w:ascii="仿宋_GB2312" w:hAnsi="仿宋_GB2312" w:eastAsia="仿宋_GB2312" w:cs="仿宋_GB2312"/>
                <w:color w:val="000000"/>
                <w:kern w:val="0"/>
                <w:sz w:val="16"/>
                <w:szCs w:val="16"/>
                <w:lang w:val="en-US" w:eastAsia="zh-CN" w:bidi="ar"/>
              </w:rPr>
              <w:t>5%</w:t>
            </w:r>
          </w:p>
        </w:tc>
        <w:tc>
          <w:tcPr>
            <w:tcW w:w="27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exact"/>
              <w:jc w:val="both"/>
              <w:textAlignment w:val="center"/>
              <w:rPr>
                <w:rFonts w:hint="eastAsia" w:ascii="仿宋_GB2312" w:hAnsi="仿宋_GB2312" w:eastAsia="仿宋_GB2312" w:cs="仿宋_GB2312"/>
                <w:b w:val="0"/>
                <w:bCs/>
                <w:color w:val="auto"/>
                <w:sz w:val="16"/>
                <w:szCs w:val="16"/>
                <w:shd w:val="clear" w:color="auto" w:fill="FFFFFF"/>
                <w:lang w:val="en-US" w:eastAsia="zh-CN"/>
              </w:rPr>
            </w:pPr>
            <w:r>
              <w:rPr>
                <w:rFonts w:hint="eastAsia" w:ascii="仿宋_GB2312" w:hAnsi="仿宋_GB2312" w:eastAsia="仿宋_GB2312" w:cs="仿宋_GB2312"/>
                <w:color w:val="000000"/>
                <w:kern w:val="0"/>
                <w:sz w:val="16"/>
                <w:szCs w:val="16"/>
                <w:lang w:bidi="ar"/>
              </w:rPr>
              <w:t>从事种畜禽生产经营的单位</w:t>
            </w:r>
          </w:p>
        </w:tc>
        <w:tc>
          <w:tcPr>
            <w:tcW w:w="919" w:type="dxa"/>
            <w:vMerge w:val="restart"/>
            <w:tcBorders>
              <w:top w:val="single" w:color="000000" w:sz="4" w:space="0"/>
              <w:left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b w:val="0"/>
                <w:bCs/>
                <w:color w:val="auto"/>
                <w:sz w:val="16"/>
                <w:szCs w:val="16"/>
                <w:shd w:val="clear" w:color="auto" w:fill="FFFFFF"/>
                <w:lang w:val="en-US" w:eastAsia="zh-CN"/>
              </w:rPr>
            </w:pPr>
            <w:r>
              <w:rPr>
                <w:rFonts w:hint="eastAsia" w:ascii="仿宋_GB2312" w:hAnsi="仿宋_GB2312" w:eastAsia="仿宋_GB2312" w:cs="仿宋_GB2312"/>
                <w:b w:val="0"/>
                <w:bCs/>
                <w:color w:val="auto"/>
                <w:sz w:val="16"/>
                <w:szCs w:val="16"/>
                <w:shd w:val="clear" w:color="auto" w:fill="FFFFFF"/>
                <w:lang w:val="en-US" w:eastAsia="zh-CN"/>
              </w:rPr>
              <w:t>不定向</w:t>
            </w:r>
          </w:p>
        </w:tc>
        <w:tc>
          <w:tcPr>
            <w:tcW w:w="1116" w:type="dxa"/>
            <w:vMerge w:val="restart"/>
            <w:tcBorders>
              <w:top w:val="single" w:color="000000" w:sz="4" w:space="0"/>
              <w:left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b w:val="0"/>
                <w:bCs/>
                <w:color w:val="auto"/>
                <w:sz w:val="16"/>
                <w:szCs w:val="16"/>
                <w:shd w:val="clear" w:color="auto" w:fill="FFFFFF"/>
                <w:lang w:val="en-US" w:eastAsia="zh-CN"/>
              </w:rPr>
            </w:pPr>
            <w:r>
              <w:rPr>
                <w:rFonts w:hint="eastAsia" w:ascii="仿宋_GB2312" w:hAnsi="仿宋_GB2312" w:eastAsia="仿宋_GB2312" w:cs="仿宋_GB2312"/>
                <w:b w:val="0"/>
                <w:bCs/>
                <w:color w:val="auto"/>
                <w:sz w:val="16"/>
                <w:szCs w:val="16"/>
                <w:shd w:val="clear" w:color="auto" w:fill="FFFFFF"/>
                <w:lang w:val="en-US" w:eastAsia="zh-CN"/>
              </w:rPr>
              <w:t>沙坡头区</w:t>
            </w:r>
          </w:p>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b w:val="0"/>
                <w:bCs/>
                <w:color w:val="auto"/>
                <w:sz w:val="16"/>
                <w:szCs w:val="16"/>
                <w:shd w:val="clear" w:color="auto" w:fill="FFFFFF"/>
                <w:lang w:val="en-US" w:eastAsia="zh-CN"/>
              </w:rPr>
            </w:pPr>
            <w:r>
              <w:rPr>
                <w:rFonts w:hint="eastAsia" w:ascii="仿宋_GB2312" w:hAnsi="仿宋_GB2312" w:eastAsia="仿宋_GB2312" w:cs="仿宋_GB2312"/>
                <w:b w:val="0"/>
                <w:bCs/>
                <w:color w:val="auto"/>
                <w:sz w:val="16"/>
                <w:szCs w:val="16"/>
                <w:shd w:val="clear" w:color="auto" w:fill="FFFFFF"/>
                <w:lang w:val="en-US" w:eastAsia="zh-CN"/>
              </w:rPr>
              <w:t>农业农村局</w:t>
            </w:r>
          </w:p>
        </w:tc>
        <w:tc>
          <w:tcPr>
            <w:tcW w:w="766" w:type="dxa"/>
            <w:vMerge w:val="restart"/>
            <w:tcBorders>
              <w:top w:val="single" w:color="auto" w:sz="4" w:space="0"/>
              <w:left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b w:val="0"/>
                <w:bCs/>
                <w:color w:val="auto"/>
                <w:sz w:val="16"/>
                <w:szCs w:val="16"/>
                <w:shd w:val="clear" w:color="auto" w:fill="FFFFFF"/>
                <w:lang w:val="en-US" w:eastAsia="zh-CN"/>
              </w:rPr>
            </w:pPr>
            <w:r>
              <w:rPr>
                <w:rFonts w:hint="eastAsia" w:ascii="仿宋_GB2312" w:hAnsi="仿宋_GB2312" w:eastAsia="仿宋_GB2312" w:cs="仿宋_GB2312"/>
                <w:b w:val="0"/>
                <w:bCs/>
                <w:color w:val="auto"/>
                <w:sz w:val="16"/>
                <w:szCs w:val="16"/>
                <w:shd w:val="clear" w:color="auto" w:fill="FFFFFF"/>
                <w:lang w:val="en-US" w:eastAsia="zh-CN"/>
              </w:rPr>
              <w:t>市场监督管理局沙坡头区分局</w:t>
            </w:r>
          </w:p>
        </w:tc>
        <w:tc>
          <w:tcPr>
            <w:tcW w:w="870" w:type="dxa"/>
            <w:vMerge w:val="restart"/>
            <w:tcBorders>
              <w:top w:val="single" w:color="auto" w:sz="4" w:space="0"/>
              <w:left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b w:val="0"/>
                <w:bCs/>
                <w:color w:val="auto"/>
                <w:sz w:val="16"/>
                <w:szCs w:val="16"/>
                <w:shd w:val="clear" w:color="auto" w:fill="FFFFFF"/>
                <w:lang w:val="en-US" w:eastAsia="zh-CN"/>
              </w:rPr>
            </w:pPr>
            <w:r>
              <w:rPr>
                <w:rFonts w:hint="eastAsia" w:ascii="仿宋_GB2312" w:hAnsi="仿宋_GB2312" w:eastAsia="仿宋_GB2312" w:cs="仿宋_GB2312"/>
                <w:b w:val="0"/>
                <w:bCs/>
                <w:color w:val="auto"/>
                <w:sz w:val="16"/>
                <w:szCs w:val="16"/>
                <w:shd w:val="clear" w:color="auto" w:fill="FFFFFF"/>
                <w:lang w:val="en-US" w:eastAsia="zh-CN"/>
              </w:rPr>
              <w:t>2024年10月</w:t>
            </w:r>
          </w:p>
        </w:tc>
        <w:tc>
          <w:tcPr>
            <w:tcW w:w="870" w:type="dxa"/>
            <w:vMerge w:val="restart"/>
            <w:tcBorders>
              <w:top w:val="single" w:color="auto" w:sz="4" w:space="0"/>
              <w:left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00" w:lineRule="exact"/>
              <w:jc w:val="center"/>
              <w:rPr>
                <w:rFonts w:hint="eastAsia" w:ascii="仿宋_GB2312" w:hAnsi="仿宋_GB2312" w:eastAsia="仿宋_GB2312" w:cs="仿宋_GB2312"/>
                <w:b w:val="0"/>
                <w:bCs/>
                <w:color w:val="auto"/>
                <w:kern w:val="2"/>
                <w:sz w:val="16"/>
                <w:szCs w:val="16"/>
                <w:shd w:val="clear" w:color="auto" w:fill="FFFFFF"/>
                <w:lang w:val="en-US" w:eastAsia="zh-CN" w:bidi="ar-SA"/>
              </w:rPr>
            </w:pPr>
            <w:r>
              <w:rPr>
                <w:rFonts w:hint="eastAsia" w:ascii="仿宋_GB2312" w:hAnsi="仿宋_GB2312" w:eastAsia="仿宋_GB2312" w:cs="仿宋_GB2312"/>
                <w:b w:val="0"/>
                <w:bCs/>
                <w:color w:val="auto"/>
                <w:sz w:val="16"/>
                <w:szCs w:val="16"/>
                <w:shd w:val="clear" w:color="auto" w:fill="FFFFFF"/>
                <w:lang w:val="en-US" w:eastAsia="zh-CN"/>
              </w:rPr>
              <w:t>畜牧水产中心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367" w:type="dxa"/>
            <w:vMerge w:val="continue"/>
            <w:tcBorders>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00" w:lineRule="exact"/>
              <w:jc w:val="center"/>
              <w:rPr>
                <w:rFonts w:hint="eastAsia" w:ascii="Times New Roman" w:hAnsi="Times New Roman" w:eastAsia="仿宋_GB2312" w:cs="Times New Roman"/>
                <w:b w:val="0"/>
                <w:bCs/>
                <w:color w:val="auto"/>
                <w:sz w:val="18"/>
                <w:szCs w:val="18"/>
                <w:shd w:val="clear" w:color="auto" w:fill="FFFFFF"/>
                <w:lang w:val="en-US" w:eastAsia="zh-CN"/>
              </w:rPr>
            </w:pPr>
          </w:p>
        </w:tc>
        <w:tc>
          <w:tcPr>
            <w:tcW w:w="1738"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180" w:lineRule="exact"/>
              <w:jc w:val="both"/>
              <w:textAlignment w:val="center"/>
              <w:rPr>
                <w:rFonts w:hint="eastAsia" w:ascii="Times New Roman" w:hAnsi="Times New Roman" w:eastAsia="仿宋_GB2312" w:cs="Times New Roman"/>
                <w:b w:val="0"/>
                <w:bCs/>
                <w:color w:val="auto"/>
                <w:sz w:val="18"/>
                <w:szCs w:val="18"/>
                <w:shd w:val="clear" w:color="auto" w:fill="FFFFFF"/>
                <w:lang w:val="en-US" w:eastAsia="zh-CN"/>
              </w:rPr>
            </w:pPr>
          </w:p>
        </w:tc>
        <w:tc>
          <w:tcPr>
            <w:tcW w:w="2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180" w:lineRule="exact"/>
              <w:jc w:val="both"/>
              <w:textAlignment w:val="center"/>
              <w:rPr>
                <w:rFonts w:hint="eastAsia" w:ascii="Times New Roman" w:hAnsi="Times New Roman" w:eastAsia="仿宋_GB2312" w:cs="Times New Roman"/>
                <w:b w:val="0"/>
                <w:bCs/>
                <w:color w:val="auto"/>
                <w:sz w:val="18"/>
                <w:szCs w:val="18"/>
                <w:shd w:val="clear" w:color="auto" w:fill="FFFFFF"/>
                <w:lang w:val="en-US" w:eastAsia="zh-CN"/>
              </w:rPr>
            </w:pPr>
            <w:r>
              <w:rPr>
                <w:rFonts w:hint="default" w:ascii="Nimbus Roman No9 L" w:hAnsi="Nimbus Roman No9 L" w:eastAsia="仿宋_GB2312" w:cs="Nimbus Roman No9 L"/>
                <w:color w:val="auto"/>
                <w:kern w:val="0"/>
                <w:sz w:val="16"/>
                <w:szCs w:val="16"/>
                <w:lang w:bidi="ar"/>
              </w:rPr>
              <w:t>水生野生动物及其制品利用活动的监督检查</w:t>
            </w:r>
          </w:p>
        </w:tc>
        <w:tc>
          <w:tcPr>
            <w:tcW w:w="1023"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180" w:lineRule="exact"/>
              <w:jc w:val="both"/>
              <w:textAlignment w:val="center"/>
              <w:rPr>
                <w:rFonts w:hint="default" w:ascii="Nimbus Roman No9 L" w:hAnsi="Nimbus Roman No9 L" w:eastAsia="仿宋_GB2312" w:cs="Nimbus Roman No9 L"/>
                <w:color w:val="000000"/>
                <w:kern w:val="0"/>
                <w:sz w:val="16"/>
                <w:szCs w:val="16"/>
                <w:lang w:bidi="ar"/>
              </w:rPr>
            </w:pPr>
          </w:p>
        </w:tc>
        <w:tc>
          <w:tcPr>
            <w:tcW w:w="27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180" w:lineRule="exact"/>
              <w:jc w:val="both"/>
              <w:textAlignment w:val="center"/>
              <w:rPr>
                <w:rFonts w:hint="eastAsia" w:ascii="Times New Roman" w:hAnsi="Times New Roman" w:eastAsia="仿宋_GB2312" w:cs="Times New Roman"/>
                <w:b w:val="0"/>
                <w:bCs/>
                <w:color w:val="auto"/>
                <w:sz w:val="18"/>
                <w:szCs w:val="18"/>
                <w:shd w:val="clear" w:color="auto" w:fill="FFFFFF"/>
                <w:lang w:val="en-US" w:eastAsia="zh-CN"/>
              </w:rPr>
            </w:pPr>
            <w:r>
              <w:rPr>
                <w:rFonts w:hint="default" w:ascii="Nimbus Roman No9 L" w:hAnsi="Nimbus Roman No9 L" w:eastAsia="仿宋_GB2312" w:cs="Nimbus Roman No9 L"/>
                <w:color w:val="000000"/>
                <w:kern w:val="0"/>
                <w:sz w:val="16"/>
                <w:szCs w:val="16"/>
                <w:lang w:bidi="ar"/>
              </w:rPr>
              <w:t>利用水生野生动物及其制品的事业单位、企业、社会组织</w:t>
            </w:r>
          </w:p>
        </w:tc>
        <w:tc>
          <w:tcPr>
            <w:tcW w:w="919" w:type="dxa"/>
            <w:vMerge w:val="continue"/>
            <w:tcBorders>
              <w:left w:val="single" w:color="000000" w:sz="4" w:space="0"/>
              <w:bottom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pacing w:line="200" w:lineRule="exact"/>
              <w:jc w:val="center"/>
              <w:rPr>
                <w:rFonts w:hint="eastAsia" w:ascii="Times New Roman" w:hAnsi="Times New Roman" w:eastAsia="仿宋_GB2312" w:cs="Times New Roman"/>
                <w:b w:val="0"/>
                <w:bCs/>
                <w:color w:val="auto"/>
                <w:sz w:val="18"/>
                <w:szCs w:val="18"/>
                <w:shd w:val="clear" w:color="auto" w:fill="FFFFFF"/>
                <w:lang w:val="en-US" w:eastAsia="zh-CN"/>
              </w:rPr>
            </w:pPr>
          </w:p>
        </w:tc>
        <w:tc>
          <w:tcPr>
            <w:tcW w:w="1116" w:type="dxa"/>
            <w:vMerge w:val="continue"/>
            <w:tcBorders>
              <w:left w:val="single" w:color="000000" w:sz="4" w:space="0"/>
              <w:bottom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pacing w:line="200" w:lineRule="exact"/>
              <w:jc w:val="center"/>
              <w:rPr>
                <w:rFonts w:hint="eastAsia" w:ascii="Times New Roman" w:hAnsi="Times New Roman" w:eastAsia="仿宋_GB2312" w:cs="Times New Roman"/>
                <w:b w:val="0"/>
                <w:bCs/>
                <w:color w:val="auto"/>
                <w:sz w:val="18"/>
                <w:szCs w:val="18"/>
                <w:shd w:val="clear" w:color="auto" w:fill="FFFFFF"/>
                <w:lang w:val="en-US" w:eastAsia="zh-CN"/>
              </w:rPr>
            </w:pPr>
          </w:p>
        </w:tc>
        <w:tc>
          <w:tcPr>
            <w:tcW w:w="766" w:type="dxa"/>
            <w:vMerge w:val="continue"/>
            <w:tcBorders>
              <w:left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00" w:lineRule="exact"/>
              <w:jc w:val="center"/>
              <w:rPr>
                <w:rFonts w:hint="eastAsia" w:ascii="Times New Roman" w:hAnsi="Times New Roman" w:eastAsia="仿宋_GB2312" w:cs="Times New Roman"/>
                <w:b w:val="0"/>
                <w:bCs/>
                <w:color w:val="auto"/>
                <w:sz w:val="18"/>
                <w:szCs w:val="18"/>
                <w:shd w:val="clear" w:color="auto" w:fill="FFFFFF"/>
                <w:lang w:val="en-US" w:eastAsia="zh-CN"/>
              </w:rPr>
            </w:pPr>
          </w:p>
        </w:tc>
        <w:tc>
          <w:tcPr>
            <w:tcW w:w="870" w:type="dxa"/>
            <w:vMerge w:val="continue"/>
            <w:tcBorders>
              <w:left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00" w:lineRule="exact"/>
              <w:jc w:val="center"/>
              <w:rPr>
                <w:rFonts w:hint="eastAsia" w:ascii="Times New Roman" w:hAnsi="Times New Roman" w:eastAsia="仿宋_GB2312" w:cs="Times New Roman"/>
                <w:b w:val="0"/>
                <w:bCs/>
                <w:color w:val="auto"/>
                <w:sz w:val="18"/>
                <w:szCs w:val="18"/>
                <w:shd w:val="clear" w:color="auto" w:fill="FFFFFF"/>
                <w:lang w:val="en-US" w:eastAsia="zh-CN"/>
              </w:rPr>
            </w:pPr>
          </w:p>
        </w:tc>
        <w:tc>
          <w:tcPr>
            <w:tcW w:w="870" w:type="dxa"/>
            <w:vMerge w:val="continue"/>
            <w:tcBorders>
              <w:left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00" w:lineRule="exact"/>
              <w:jc w:val="center"/>
              <w:rPr>
                <w:rFonts w:hint="eastAsia" w:ascii="Times New Roman" w:hAnsi="Times New Roman" w:eastAsia="仿宋_GB2312" w:cs="Times New Roman"/>
                <w:b w:val="0"/>
                <w:bCs/>
                <w:color w:val="auto"/>
                <w:sz w:val="18"/>
                <w:szCs w:val="18"/>
                <w:shd w:val="clear" w:color="auto" w:fill="FFFFFF"/>
                <w:lang w:val="en-US" w:eastAsia="zh-CN"/>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Nimbus Roman No9 L">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F3378D"/>
    <w:rsid w:val="14F337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Arial" w:hAnsi="Arial" w:eastAsia="黑体" w:cs="Times New Roman"/>
      <w:b/>
      <w:bCs/>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2024-03-28T08:32:00Z</dcterms:created>
  <dc:creator>Administrator</dc:creator>
  <cp:lastModifiedBy>Administrator</cp:lastModifiedBy>
  <dcterms:modified xsi:type="dcterms:W3CDTF">2024-03-28T08:32:50Z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