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  <w:t>2023年度中卫市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沙坡头区农业农村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-6"/>
          <w:kern w:val="0"/>
          <w:sz w:val="44"/>
          <w:szCs w:val="44"/>
          <w:u w:val="none"/>
          <w:lang w:val="en-US" w:eastAsia="zh-CN" w:bidi="ar"/>
        </w:rPr>
        <w:t>领域部门联合随机抽查工作计划</w:t>
      </w:r>
      <w:bookmarkEnd w:id="0"/>
    </w:p>
    <w:p>
      <w:pPr>
        <w:rPr>
          <w:rFonts w:hint="default"/>
          <w:lang w:val="en-US" w:eastAsia="zh-CN"/>
        </w:rPr>
      </w:pPr>
    </w:p>
    <w:tbl>
      <w:tblPr>
        <w:tblStyle w:val="4"/>
        <w:tblW w:w="13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864"/>
        <w:gridCol w:w="2647"/>
        <w:gridCol w:w="643"/>
        <w:gridCol w:w="1810"/>
        <w:gridCol w:w="772"/>
        <w:gridCol w:w="1328"/>
        <w:gridCol w:w="1383"/>
        <w:gridCol w:w="835"/>
        <w:gridCol w:w="15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抽查任务名称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抽查事项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比例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检查对象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类型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组织单位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联合检查参与单位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任务下发类型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完成时限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农业生产资料监管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饲料、饲料添加剂监督抽查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5%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饲料和饲料添加剂生产企业和经营企业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不定向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县级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2023年9月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对农作物种子质量监督检查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5%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种子生产经营企业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不定向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县级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2023年9月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水生野生动物养殖加工情况的检查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对水生野生动物或者其产品的经营利用的监督检查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5%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经营利用水生野生动物或者其产品的单位和个人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不定向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县级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2023年9月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畜产品质量安全的监管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畜禽肉品质量经营企业监督检查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5%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从事畜禽屠宰的单位和动物产品经营主体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不定向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县级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2023年12月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14833"/>
    <w:rsid w:val="6B0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2023-10-23T06:59:00Z</dcterms:created>
  <dc:creator>Administrator</dc:creator>
  <cp:lastModifiedBy>Administrator</cp:lastModifiedBy>
  <dcterms:modified xsi:type="dcterms:W3CDTF">2023-10-23T06:59:46Z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