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left="0" w:leftChars="0" w:firstLine="0" w:firstLineChars="0"/>
        <w:rPr>
          <w:rFonts w:hint="default" w:ascii="Times New Roman" w:hAnsi="Times New Roman" w:eastAsia="方正小标宋简体" w:cs="Times New Roman"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kern w:val="2"/>
          <w:sz w:val="32"/>
          <w:szCs w:val="32"/>
          <w:lang w:val="en-US" w:eastAsia="zh-CN" w:bidi="ar-SA"/>
        </w:rPr>
        <w:t>附件2</w:t>
      </w:r>
    </w:p>
    <w:p>
      <w:pPr>
        <w:pStyle w:val="6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  <w:lang w:eastAsia="zh-CN"/>
        </w:rPr>
        <w:t>沙坡头区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20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  <w:lang w:val="en-US" w:eastAsia="zh-CN"/>
        </w:rPr>
        <w:t>21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年农机作业服务公司建设项目绩效考核实施方案</w:t>
      </w:r>
    </w:p>
    <w:p>
      <w:pPr>
        <w:pStyle w:val="6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/>
        <w:jc w:val="center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pStyle w:val="6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为贯彻落实自治区人民政府《关于全面推进预算绩效管理的实施意见》，按照自治区财政厅有关加强预算项目绩效管理的要求，做好农机作业服务公司建设项目总结验收和绩效考核工作，不断提升全区农机社会化服务水平，特制定本办法。</w:t>
      </w:r>
    </w:p>
    <w:p>
      <w:pPr>
        <w:pStyle w:val="6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一、指导思想</w:t>
      </w:r>
    </w:p>
    <w:p>
      <w:pPr>
        <w:pStyle w:val="6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按照加强绩效管理和建立公共财政体系总体要求，量化考核指标、健全考核机制、完善制度措施，全面推进农机作业服务公司建设项目绩效考核工作。</w:t>
      </w:r>
    </w:p>
    <w:p>
      <w:pPr>
        <w:pStyle w:val="6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二、总体目标</w:t>
      </w:r>
    </w:p>
    <w:p>
      <w:pPr>
        <w:pStyle w:val="6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通过项目的实施，提升农机服务层次、完善运行机制、强化服务功能、推动农业生产全程机械化和农机社会化服务水平，提高农业生产组织化程度，推动农业机械化健康、快速发展。</w:t>
      </w:r>
    </w:p>
    <w:p>
      <w:pPr>
        <w:pStyle w:val="6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三、绩效考核依据</w:t>
      </w:r>
    </w:p>
    <w:p>
      <w:pPr>
        <w:pStyle w:val="6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（一）20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年自治区农业农村厅、财政厅下达的农机作业服务公司建设实施方案、绩效考核办法。</w:t>
      </w:r>
    </w:p>
    <w:p>
      <w:pPr>
        <w:pStyle w:val="6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（二）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沙坡头区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2021年农机作业服务公司建设项目实施方案、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项目绩效考核指标体系和有关规范及管理制度等。</w:t>
      </w:r>
    </w:p>
    <w:p>
      <w:pPr>
        <w:pStyle w:val="6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四、考核的主要内容</w:t>
      </w:r>
    </w:p>
    <w:p>
      <w:pPr>
        <w:pStyle w:val="6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（一）农机作业服务公司建设任务完成情况。</w:t>
      </w:r>
    </w:p>
    <w:p>
      <w:pPr>
        <w:pStyle w:val="6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（二）农机作业服务公司建设项目组织管理情况。</w:t>
      </w:r>
    </w:p>
    <w:p>
      <w:pPr>
        <w:pStyle w:val="6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（三）农机作业服务公司实施管理情况。</w:t>
      </w:r>
    </w:p>
    <w:p>
      <w:pPr>
        <w:pStyle w:val="6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（四）项目产出及绩效管理情况。</w:t>
      </w:r>
    </w:p>
    <w:p>
      <w:pPr>
        <w:pStyle w:val="6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五、组织实施</w:t>
      </w:r>
    </w:p>
    <w:p>
      <w:pPr>
        <w:pStyle w:val="6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沙坡头区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年农机作业服务公司建设项目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，由沙坡头区农业技术推广服务中心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指导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实施。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检查验收工作，由自治区农业农村厅农机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具体负责组织。</w:t>
      </w:r>
    </w:p>
    <w:p>
      <w:pPr>
        <w:pStyle w:val="6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六、检查验收时间</w:t>
      </w:r>
    </w:p>
    <w:p>
      <w:pPr>
        <w:pStyle w:val="6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验收及绩效考核工作于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月开始，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中旬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前完成。</w:t>
      </w:r>
    </w:p>
    <w:p>
      <w:pPr>
        <w:pStyle w:val="6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七、工作程序</w:t>
      </w:r>
    </w:p>
    <w:p>
      <w:pPr>
        <w:pStyle w:val="6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</w:rPr>
        <w:t>（一）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农机作业服务公司的建设单位和组织实施单位，要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对照自治区农业农村厅下达的计划任务指标进行自查自验，完成自验报告，并将相关材料装订成册，并将验收申请报告报送自治区农业农村厅农机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。以备自治区验收组检查验收。</w:t>
      </w:r>
    </w:p>
    <w:p>
      <w:pPr>
        <w:pStyle w:val="6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</w:rPr>
        <w:t>（二）自治区验收及绩效考核。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在县级自查自验的基础上，采取自治区、市级联合检查验收和绩效考核。验收和绩效考核办法采取听取汇报、实地丈量、查阅档案资料、财务报表相结合的方式进行。</w:t>
      </w:r>
    </w:p>
    <w:p>
      <w:pPr>
        <w:pStyle w:val="6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八、要求</w:t>
      </w:r>
    </w:p>
    <w:p>
      <w:pPr>
        <w:pStyle w:val="6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自治区验收及绩效考核时，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农机作业服务公司的建设单位和组织实施单位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需提供项目建设总结和实施方案，验收申请，相关制度，运行机制、财务及机具档案，作业合同及公司运行的相关档案材料等。</w:t>
      </w:r>
    </w:p>
    <w:p>
      <w:pPr>
        <w:pStyle w:val="6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6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附表：</w:t>
      </w:r>
      <w:r>
        <w:rPr>
          <w:rFonts w:hint="default" w:ascii="Times New Roman" w:hAnsi="Times New Roman" w:eastAsia="仿宋_GB2312" w:cs="Times New Roman"/>
          <w:spacing w:val="-11"/>
          <w:sz w:val="32"/>
          <w:szCs w:val="32"/>
        </w:rPr>
        <w:t>20</w:t>
      </w:r>
      <w:r>
        <w:rPr>
          <w:rFonts w:hint="default" w:ascii="Times New Roman" w:hAnsi="Times New Roman" w:eastAsia="仿宋_GB2312" w:cs="Times New Roman"/>
          <w:spacing w:val="-11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spacing w:val="-11"/>
          <w:sz w:val="32"/>
          <w:szCs w:val="32"/>
        </w:rPr>
        <w:t>年农机作业服务公司建设项目绩效考核指标体系</w:t>
      </w:r>
    </w:p>
    <w:p>
      <w:pPr>
        <w:pStyle w:val="6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</w:rPr>
        <w:sectPr>
          <w:headerReference r:id="rId3" w:type="default"/>
          <w:footerReference r:id="rId4" w:type="default"/>
          <w:pgSz w:w="11907" w:h="16840"/>
          <w:pgMar w:top="2098" w:right="1474" w:bottom="1984" w:left="1587" w:header="851" w:footer="992" w:gutter="57"/>
          <w:pgNumType w:fmt="numberInDash" w:start="9"/>
          <w:cols w:space="720" w:num="1"/>
          <w:rtlGutter w:val="0"/>
          <w:docGrid w:linePitch="312" w:charSpace="0"/>
        </w:sectPr>
      </w:pPr>
    </w:p>
    <w:p>
      <w:pPr>
        <w:pStyle w:val="6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left="0" w:leftChars="0" w:firstLine="0" w:firstLineChars="0"/>
        <w:jc w:val="left"/>
        <w:rPr>
          <w:rFonts w:hint="default" w:ascii="Times New Roman" w:hAnsi="Times New Roman" w:eastAsia="黑体" w:cs="Times New Roman"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Cs/>
          <w:sz w:val="28"/>
          <w:szCs w:val="28"/>
        </w:rPr>
        <w:t>附表</w:t>
      </w:r>
    </w:p>
    <w:p>
      <w:pPr>
        <w:pStyle w:val="6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20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21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年农机作业服务公司建设项目绩效考核指标体系</w:t>
      </w:r>
    </w:p>
    <w:tbl>
      <w:tblPr>
        <w:tblStyle w:val="5"/>
        <w:tblW w:w="13850" w:type="dxa"/>
        <w:jc w:val="center"/>
        <w:tblInd w:w="1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3"/>
        <w:gridCol w:w="1312"/>
        <w:gridCol w:w="1945"/>
        <w:gridCol w:w="680"/>
        <w:gridCol w:w="7900"/>
        <w:gridCol w:w="8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12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  <w:t>一级指标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  <w:t>二级指标</w:t>
            </w:r>
          </w:p>
        </w:tc>
        <w:tc>
          <w:tcPr>
            <w:tcW w:w="19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  <w:t>三级指标</w:t>
            </w:r>
          </w:p>
        </w:tc>
        <w:tc>
          <w:tcPr>
            <w:tcW w:w="6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  <w:t>分值</w:t>
            </w:r>
          </w:p>
        </w:tc>
        <w:tc>
          <w:tcPr>
            <w:tcW w:w="79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  <w:t>评分标准</w:t>
            </w:r>
          </w:p>
        </w:tc>
        <w:tc>
          <w:tcPr>
            <w:tcW w:w="8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  <w:t>赋分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12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  <w:t>项目管理（40分）</w:t>
            </w:r>
          </w:p>
        </w:tc>
        <w:tc>
          <w:tcPr>
            <w:tcW w:w="131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  <w:t>组织管理（10分）</w:t>
            </w:r>
          </w:p>
        </w:tc>
        <w:tc>
          <w:tcPr>
            <w:tcW w:w="19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bottom"/>
              <w:rPr>
                <w:rFonts w:hint="default" w:ascii="Times New Roman" w:hAnsi="Times New Roman" w:eastAsia="仿宋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制定项目实施方案</w:t>
            </w:r>
          </w:p>
        </w:tc>
        <w:tc>
          <w:tcPr>
            <w:tcW w:w="6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9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制定项目实施方案，方案具体、措施得力得5分，否则酌情扣分不得分。</w:t>
            </w:r>
          </w:p>
        </w:tc>
        <w:tc>
          <w:tcPr>
            <w:tcW w:w="89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103" w:firstLineChars="49"/>
              <w:jc w:val="center"/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12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</w:pPr>
          </w:p>
        </w:tc>
        <w:tc>
          <w:tcPr>
            <w:tcW w:w="131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</w:pPr>
          </w:p>
        </w:tc>
        <w:tc>
          <w:tcPr>
            <w:tcW w:w="19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bottom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建立健全制度</w:t>
            </w:r>
          </w:p>
        </w:tc>
        <w:tc>
          <w:tcPr>
            <w:tcW w:w="6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9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建立项目管理、财务管理等制度的得5分，未建立制度不得分。</w:t>
            </w:r>
          </w:p>
        </w:tc>
        <w:tc>
          <w:tcPr>
            <w:tcW w:w="89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103" w:firstLineChars="49"/>
              <w:jc w:val="center"/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12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</w:pPr>
          </w:p>
        </w:tc>
        <w:tc>
          <w:tcPr>
            <w:tcW w:w="131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  <w:t>项目实施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  <w:t>管理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  <w:t>（30分）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</w:pPr>
          </w:p>
        </w:tc>
        <w:tc>
          <w:tcPr>
            <w:tcW w:w="19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标牌建设</w:t>
            </w:r>
          </w:p>
        </w:tc>
        <w:tc>
          <w:tcPr>
            <w:tcW w:w="6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5</w:t>
            </w:r>
          </w:p>
        </w:tc>
        <w:tc>
          <w:tcPr>
            <w:tcW w:w="79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按照规范制作农机作业服务公司标牌得5分，不符合规定不得分。</w:t>
            </w:r>
          </w:p>
        </w:tc>
        <w:tc>
          <w:tcPr>
            <w:tcW w:w="89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103" w:firstLineChars="49"/>
              <w:jc w:val="center"/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12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</w:pPr>
          </w:p>
        </w:tc>
        <w:tc>
          <w:tcPr>
            <w:tcW w:w="131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</w:pPr>
          </w:p>
        </w:tc>
        <w:tc>
          <w:tcPr>
            <w:tcW w:w="19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建设规模</w:t>
            </w:r>
          </w:p>
        </w:tc>
        <w:tc>
          <w:tcPr>
            <w:tcW w:w="6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7</w:t>
            </w:r>
          </w:p>
        </w:tc>
        <w:tc>
          <w:tcPr>
            <w:tcW w:w="79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完成建设面积得5分，未完成不得分；按照库棚建设要求建设得2分，否则扣分。</w:t>
            </w:r>
          </w:p>
        </w:tc>
        <w:tc>
          <w:tcPr>
            <w:tcW w:w="89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103" w:firstLineChars="49"/>
              <w:jc w:val="center"/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12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</w:pPr>
          </w:p>
        </w:tc>
        <w:tc>
          <w:tcPr>
            <w:tcW w:w="131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</w:pPr>
          </w:p>
        </w:tc>
        <w:tc>
          <w:tcPr>
            <w:tcW w:w="19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台账管理</w:t>
            </w:r>
          </w:p>
        </w:tc>
        <w:tc>
          <w:tcPr>
            <w:tcW w:w="6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3</w:t>
            </w:r>
          </w:p>
        </w:tc>
        <w:tc>
          <w:tcPr>
            <w:tcW w:w="79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建立机具和驾驶员台账得3分，每缺1项扣1.5分。</w:t>
            </w:r>
          </w:p>
        </w:tc>
        <w:tc>
          <w:tcPr>
            <w:tcW w:w="89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103" w:firstLineChars="49"/>
              <w:jc w:val="center"/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12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</w:pPr>
          </w:p>
        </w:tc>
        <w:tc>
          <w:tcPr>
            <w:tcW w:w="131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</w:pPr>
          </w:p>
        </w:tc>
        <w:tc>
          <w:tcPr>
            <w:tcW w:w="19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财务及合同管理</w:t>
            </w:r>
          </w:p>
        </w:tc>
        <w:tc>
          <w:tcPr>
            <w:tcW w:w="6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6</w:t>
            </w:r>
          </w:p>
        </w:tc>
        <w:tc>
          <w:tcPr>
            <w:tcW w:w="79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资金专款专用得3分，否则不得分；实行农机作业合同制管理的3分，否则酌情扣分。</w:t>
            </w:r>
          </w:p>
        </w:tc>
        <w:tc>
          <w:tcPr>
            <w:tcW w:w="89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103" w:firstLineChars="49"/>
              <w:jc w:val="center"/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12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</w:pPr>
          </w:p>
        </w:tc>
        <w:tc>
          <w:tcPr>
            <w:tcW w:w="131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</w:pPr>
          </w:p>
        </w:tc>
        <w:tc>
          <w:tcPr>
            <w:tcW w:w="19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档案管理及材料报送实施方案</w:t>
            </w:r>
          </w:p>
        </w:tc>
        <w:tc>
          <w:tcPr>
            <w:tcW w:w="6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9</w:t>
            </w:r>
          </w:p>
        </w:tc>
        <w:tc>
          <w:tcPr>
            <w:tcW w:w="79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及时报送实施方案、总结等材料得4分</w:t>
            </w:r>
            <w:r>
              <w:rPr>
                <w:rFonts w:hint="default" w:ascii="Times New Roman" w:hAnsi="Times New Roman" w:eastAsia="仿宋" w:cs="Times New Roman"/>
                <w:szCs w:val="21"/>
              </w:rPr>
              <w:t>，档案资料完整，并装订成册得5分，否则酌情扣分。</w:t>
            </w:r>
          </w:p>
        </w:tc>
        <w:tc>
          <w:tcPr>
            <w:tcW w:w="8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103" w:firstLineChars="49"/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12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  <w:t>绩效指标（60分）</w:t>
            </w:r>
          </w:p>
        </w:tc>
        <w:tc>
          <w:tcPr>
            <w:tcW w:w="131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Cs w:val="21"/>
              </w:rPr>
              <w:t>产出指标（30分）</w:t>
            </w:r>
          </w:p>
        </w:tc>
        <w:tc>
          <w:tcPr>
            <w:tcW w:w="19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数量指标</w:t>
            </w:r>
          </w:p>
        </w:tc>
        <w:tc>
          <w:tcPr>
            <w:tcW w:w="6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15</w:t>
            </w:r>
          </w:p>
        </w:tc>
        <w:tc>
          <w:tcPr>
            <w:tcW w:w="79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完成项目建设数量得5分，否则不得分；完成建设面积得10分；未完成不得分。</w:t>
            </w:r>
          </w:p>
        </w:tc>
        <w:tc>
          <w:tcPr>
            <w:tcW w:w="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12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</w:pPr>
          </w:p>
        </w:tc>
        <w:tc>
          <w:tcPr>
            <w:tcW w:w="131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</w:pPr>
          </w:p>
        </w:tc>
        <w:tc>
          <w:tcPr>
            <w:tcW w:w="19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质量指标</w:t>
            </w:r>
          </w:p>
        </w:tc>
        <w:tc>
          <w:tcPr>
            <w:tcW w:w="6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5</w:t>
            </w:r>
          </w:p>
        </w:tc>
        <w:tc>
          <w:tcPr>
            <w:tcW w:w="79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验收合格得5分，否则不得分。</w:t>
            </w:r>
          </w:p>
        </w:tc>
        <w:tc>
          <w:tcPr>
            <w:tcW w:w="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12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</w:pPr>
          </w:p>
        </w:tc>
        <w:tc>
          <w:tcPr>
            <w:tcW w:w="131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</w:pPr>
          </w:p>
        </w:tc>
        <w:tc>
          <w:tcPr>
            <w:tcW w:w="19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实效指标</w:t>
            </w:r>
          </w:p>
        </w:tc>
        <w:tc>
          <w:tcPr>
            <w:tcW w:w="6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10</w:t>
            </w:r>
          </w:p>
        </w:tc>
        <w:tc>
          <w:tcPr>
            <w:tcW w:w="79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项目资金执行率达到95%以上得8分，</w:t>
            </w:r>
            <w:r>
              <w:rPr>
                <w:rFonts w:hint="default" w:ascii="Times New Roman" w:hAnsi="Times New Roman" w:eastAsia="仿宋" w:cs="Times New Roman"/>
                <w:szCs w:val="21"/>
              </w:rPr>
              <w:t>90%-95%的按比例得分，</w:t>
            </w: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低于90%不得分</w:t>
            </w:r>
            <w:r>
              <w:rPr>
                <w:rFonts w:hint="default" w:ascii="Times New Roman" w:hAnsi="Times New Roman" w:eastAsia="仿宋" w:cs="Times New Roman"/>
                <w:szCs w:val="21"/>
              </w:rPr>
              <w:t>；年度资金兑付率大于95%得2分，85%-95%的按比例得分</w:t>
            </w: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低于85%不得分</w:t>
            </w:r>
            <w:r>
              <w:rPr>
                <w:rFonts w:hint="default" w:ascii="Times New Roman" w:hAnsi="Times New Roman" w:eastAsia="仿宋" w:cs="Times New Roman"/>
                <w:szCs w:val="21"/>
              </w:rPr>
              <w:t>。</w:t>
            </w:r>
          </w:p>
        </w:tc>
        <w:tc>
          <w:tcPr>
            <w:tcW w:w="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12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</w:pPr>
          </w:p>
        </w:tc>
        <w:tc>
          <w:tcPr>
            <w:tcW w:w="131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Cs w:val="21"/>
              </w:rPr>
              <w:t>效益指标（20分）</w:t>
            </w:r>
          </w:p>
        </w:tc>
        <w:tc>
          <w:tcPr>
            <w:tcW w:w="19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产出指标</w:t>
            </w:r>
          </w:p>
        </w:tc>
        <w:tc>
          <w:tcPr>
            <w:tcW w:w="6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10</w:t>
            </w:r>
          </w:p>
        </w:tc>
        <w:tc>
          <w:tcPr>
            <w:tcW w:w="79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农机作业公司数量增加得4分；农机服务组织作业面积增加得3分，农机作业公司经济效益提高得3分；</w:t>
            </w:r>
          </w:p>
        </w:tc>
        <w:tc>
          <w:tcPr>
            <w:tcW w:w="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12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</w:pPr>
          </w:p>
        </w:tc>
        <w:tc>
          <w:tcPr>
            <w:tcW w:w="131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</w:pPr>
          </w:p>
        </w:tc>
        <w:tc>
          <w:tcPr>
            <w:tcW w:w="19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可持续影响</w:t>
            </w:r>
          </w:p>
        </w:tc>
        <w:tc>
          <w:tcPr>
            <w:tcW w:w="6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10</w:t>
            </w:r>
          </w:p>
        </w:tc>
        <w:tc>
          <w:tcPr>
            <w:tcW w:w="79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提升了农机社会化服务能力得5分，提高了农业现代化水平得5分，否则不得分。</w:t>
            </w:r>
          </w:p>
        </w:tc>
        <w:tc>
          <w:tcPr>
            <w:tcW w:w="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112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</w:pP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  <w:t>满意度指标（10分）</w:t>
            </w:r>
          </w:p>
        </w:tc>
        <w:tc>
          <w:tcPr>
            <w:tcW w:w="19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服务对象满意度</w:t>
            </w:r>
          </w:p>
        </w:tc>
        <w:tc>
          <w:tcPr>
            <w:tcW w:w="6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10</w:t>
            </w:r>
          </w:p>
        </w:tc>
        <w:tc>
          <w:tcPr>
            <w:tcW w:w="79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服务对象满意度达到95%以上得10分，否则不得分。</w:t>
            </w:r>
          </w:p>
        </w:tc>
        <w:tc>
          <w:tcPr>
            <w:tcW w:w="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24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  <w:t>合计</w:t>
            </w:r>
          </w:p>
        </w:tc>
        <w:tc>
          <w:tcPr>
            <w:tcW w:w="19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</w:p>
        </w:tc>
        <w:tc>
          <w:tcPr>
            <w:tcW w:w="6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100</w:t>
            </w:r>
          </w:p>
        </w:tc>
        <w:tc>
          <w:tcPr>
            <w:tcW w:w="79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</w:pPr>
          </w:p>
        </w:tc>
      </w:tr>
    </w:tbl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  <w:sectPr>
          <w:footerReference r:id="rId7" w:type="first"/>
          <w:headerReference r:id="rId5" w:type="default"/>
          <w:footerReference r:id="rId6" w:type="default"/>
          <w:type w:val="nextColumn"/>
          <w:pgSz w:w="16838" w:h="11905" w:orient="landscape"/>
          <w:pgMar w:top="2098" w:right="1474" w:bottom="1984" w:left="1587" w:header="851" w:footer="992" w:gutter="57"/>
          <w:pgNumType w:fmt="numberInDash"/>
          <w:cols w:space="720" w:num="1"/>
          <w:rtlGutter w:val="0"/>
          <w:docGrid w:linePitch="315" w:charSpace="0"/>
        </w:sectPr>
      </w:pPr>
    </w:p>
    <w:p>
      <w:pPr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-203200</wp:posOffset>
              </wp:positionV>
              <wp:extent cx="636905" cy="3683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6905" cy="3683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jc w:val="center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113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6pt;height:29pt;width:50.15pt;mso-position-horizontal:outside;mso-position-horizontal-relative:margin;z-index:251658240;mso-width-relative:page;mso-height-relative:page;" filled="f" stroked="f" coordsize="21600,21600" o:gfxdata="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">
              <v:path/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snapToGrid w:val="0"/>
                      <w:jc w:val="center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113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-203200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- 13 -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6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qOvVH9cAAAAIAQAADwAAAAAAAAABACAAAAAiAAAAZHJzL2Rvd25yZXYueG1sUEsBAhQAFAAA&#10;AAgAh07iQMRiJ8G3AQAAVQMAAA4AAAAAAAAAAQAgAAAAJgEAAGRycy9lMm9Eb2MueG1sUEsFBgAA&#10;AAAGAAYAWQEAAE8FAAAAAA==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- 13 -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hint="default" w:ascii="宋体" w:hAnsi="宋体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662612"/>
    <w:rsid w:val="0A662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hint="eastAsia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customStyle="1" w:styleId="6">
    <w:name w:val="List Paragraph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2021-06-29T07:04:00Z</dcterms:created>
  <dc:creator>小妖妖</dc:creator>
  <cp:lastModifiedBy>小妖妖</cp:lastModifiedBy>
  <dcterms:modified xsi:type="dcterms:W3CDTF">2021-06-29T07:05:29Z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