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沙坡头区2020年农药使用量零增长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行动实施方案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为推进农业发展方式转变，有效控制农药使用量，促进农业可持续发展，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农业部《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到2020年农药使用量零增长行动方案》（农农发〔2015〕2号）要求，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扎实推进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农药零增长行动，有效促进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农药减量控害，减轻农业环境面源污染，保障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农业生产安全、农产品质量安全和生态环境安全，推动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农业绿色高质量发展，特制定本实施方案。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牢固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树立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“科学植保、公共植保、绿色植保”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理念，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依靠科技进步，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以建立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作物病虫害专业化统防统治与绿色防控示范区为抓手,坚持“预防为主、综合防治”的植保方针，进一步强化病虫害监测预警，提高预报准确率，推进防治精准化;强化农药科学使用技术培训，推进农民用药科学化;大力推广新型植保机械，推进农药使用装备现代化;大力推广低毒生物农药、低毒低残留化学农药，推广病虫害绿色防控技术，推进防治措施绿色化，实现农药减量控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2020年，中短期预报准确率达到90%以上，农作物病虫害专业化统防统治覆盖率达到40%以上，农作物病虫害绿色防控覆盖率占比达到30%，蔬菜生产基地生物、物理防治措施覆盖率达到30%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农药利用率达到40%以上。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三、技术路径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根据病虫害发生危害的特点和预防控制的实际，坚持综合治理、标本兼治的策略，重点在“测、替、精、统”四个字上下功夫。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“测”，即是加强病虫害监测预报。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围绕小麦条锈病、草地贪夜蛾、马铃薯晚疫病等重大病虫害及稻水象甲、黄瓜绿斑驳花叶病毒病等植物疫情为重点，加强监测调查，及时准确预报，指导适期防治。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“替”，即是用农业、生物、物理防治措施替代化学防治措施、高效低毒低残留农药替代高毒高残留农药、大中型高效药械替代小型低效药械。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力推广农业防治、生物防治、物理防治、生态调控等绿色防控措施，替代化学防治措施，减少化学农药的使用。大力推广应用生物农药、高效低毒低残留农药，替代高毒高残留农药。推广应用现代先进植保机械，替代跑冒滴漏落后机械，减少农药流失和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“精”，即是推行精准科学施药。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重点是对症、适时、适量科学施药。在准确诊断病虫害、明确其抗药性水平的基础上，配方选药，对症用药，避免乱用药。严格按照农药使用说明规定的使用剂量、次数和安全间隔期施药。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“统”，即是推行病虫害统防统治。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扶持病虫防治专业化服务组织、新型农业经营主体，开展专业化统防统治，推行植保机械与农艺配套，提高防治效率、效果和效益，解决一家一户“打药难”“乱打药”等问题。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强化病虫害监测预报，推进精准用药促减量。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加强测报队伍管理，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指导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测报技术人员，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严格按照《农作物病虫测报调查规范》开展病虫害监测调查，认真落实“五天一监测、十天一普查”的测报要求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利用自动计数性诱捕器、高空测报灯、病害智能监测仪等现代测报工具开展精准监测，及时掌握小麦条锈病、草地贪夜蛾、粘虫等突发性、流行性病虫害发生动态，提高预报准确性。充分利用电视、网络、手机短信、微信、QQ等各种现代媒体及时发布病虫预报，及时指导用药防治，推进精准用药，提高防治效果，促进农药减量控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（二）推进绿色防控技术示范，替代化学农药促减量。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围绕蔬菜产业高质量发展，建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个“四好园区”，开展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色产品直供、绿色技术集成、指导绿色防控服务，充分利用秸秆生产反应、蚯蚓肥、清洁田园、合理密植等农业措施，性诱剂诱杀、生物农药等生物措施，灯光诱杀、色板诱杀等物理措施，温湿度智能化调控等生态调控措施，集成组装绿色防控技术模式，加快绿色防控技术推广，达到减少或不施化学农药。围绕小麦、玉米、水稻、等粮食作物重点集成配套机械深翻埋压病虫源、清洁田园、施用生物农药等农业、生物措施，推广乙基多杀菌素、茚虫威、氯虫苯甲酰胺等高效低毒低风险农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2020 年推广绿色防控技术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万亩以上，有效促进化学农药减重。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（三）推进专业化统防统治，提高防治效率促减量。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农业社会化服务站、专业化防治组织作用，创建一批专业化统防统治示范区，集成配套综合防控技术，提高防治效率、效益，推进农药使用减量。利用农机购置补贴项目，因地制宜推广自走式喷杆喷雾器、无人机、风送式喷雾器等现代植保机械，采用低容量喷雾、静电喷雾等先进施药技术，提高喷雾对靶性，降低飘移损失，提高农药利用率。根据不同作物、关键时间节点，重点集成推广玉米、水稻田“一封一杀”化学除草技术模式，小麦田中后期“一喷三防”模式，玉米田大喇叭口期“一防两控”模式，水稻稻瘟病破口抽穗期喷药预防措施，蔬菜园区绿色防控技术模式，实现农作物病虫害全程规模化防控、规范化操作，减少用药次数，促进农药减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（四）强化技术培训，推进农药科学使用促减量。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利用新型职业农民培训等培训项目，以农业企业、专业合作社、家庭农场、社会化服务组织、农药经营门店新型经营主体技术负责人为重点，开展《农药管理条例》《农作物病虫害防治条例》等法律法规及绿色防控、统防统治、科学用药等关键技术培训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高病虫害依法防治、科学防治水平，推进农药减量。针对蔬莱园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区、农业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门店重点开展绿色防控技术、科学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用药技术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产品质量安全。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禁限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用发药使用规定，低毒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低残留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农药选择、培训，提高安全用药意识，提高用药水平。针对农业社会化服务站、专业化防治组织，重点开展规范化操作、喷雾器械维修养护、无人机用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、农药科学配制等专业培训，提高专业机手的操作技能，推进规范用药，提高安全用药能力。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（五）加强农药市场监管，提高农药质量促减量。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规范经营许可，强化质量抽检，严查假劣农药，保障农药产品质量，推进农药减量。不定期开展农药经营市场监督检查，从经营场所、经营产品、经营行为、技术服务、管理制度和废弃物回收等六个方面规范农药经营，严格落实限制使用农药定点经营、专柜储存、实名销售、处方销售、溯源管理。按照“双随机一公开”要求，开展农药质量抽检，重点检测生物农药添加化学农药、低毒农药添加高毒高风险农药、敌草快等灭生性除草剂添加百草枯等违规添加农药隐性成分问题。对照农业农村部农药质量监督抽检结果通报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农药经营店开展拉网式排查，查处违法生产、经营假劣农药行为，推进农药规范经营、科学使用。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eastAsia="zh-CN"/>
        </w:rPr>
        <w:t>(六)建立包装废弃物回收处置机制，减少农业面源污染。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促进农业资源持续利用和生态环境持续改善为目标，按照“谁经营谁回收、谁使用谁交回”的原则，落实使用者收集、经营者回收责任，协调环保部门和有资质处置单位，按照环保要求对农药包装废弃物进行无害化集中处理。鼓励专业化防治组织、农业社会化服务站等第三方机构拓展服务功能，开展市场化运作，建立农药包装废弃物回收处置长效运行机制，推进农药包装废弃物回收利用，减轻农药面源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（一）强化组织领导。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为确保农药使用量零增长工作的顺利实施，成立沙坡头区农药使用量零增长工作领导小组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切实加强组织领导、政策支持、工作协调、督促检查，结合实施绩效考核，全力推进各项措施落实。领导小组下设办公室，办公室设在沙坡头区农业技术推广服务中心，主要负责人兼任办公室主任，负责处理日常事务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明确措施，细化目标，分解任务，落实责任，确保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减量目标顺利实现。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（二）强化技术指导。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农药使用量零增长行动专家指导小组，提出具体的技术方案，开展技术指导服务，把各项关键技术落实到位。充分发挥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农业技术推广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优势，鼓励开展技术推广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政策宣传、技术培训和服务指导等工作。提高技术到位率，为农药零增长行动提供技术保障。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（三）强化宣传引导。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充分利用广播、电视、报纸、手机等媒体，大力宣传绿色防控技术和科学用药知识，增强农民安全用药意识，提高科学用药技术水平。宣传各地开展农药减量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工作中的好经验、好做法，引导使用者科学使用，形成全社会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持农药零增长工作的良好氛围。</w:t>
      </w:r>
    </w:p>
    <w:p>
      <w:pPr>
        <w:spacing w:line="580" w:lineRule="exact"/>
        <w:ind w:firstLine="63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  <w:t>（四）强化绩效考核。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农药零增长评价指标体系和考核机制，纳入农业工作目标考核，确保各项工作落到实处。各乡镇要进一步细化考核落实，结合实施绩效考核，建立上下联动、多方协作的工作机制，强化责任、加强督查，采取一级抓一级，层层抓落实，切实落实好零增长行动的各项工作任务。</w:t>
      </w:r>
    </w:p>
    <w:p>
      <w:pPr>
        <w:spacing w:line="580" w:lineRule="exact"/>
        <w:ind w:firstLine="63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  <w:t>（五）加强宣传培训。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充分利用广播、电视、报刊、互联网等媒体，多角度宣传科学施用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减量增效的重要意义，充分利用广播、电视、报刊、互联网等媒体，大力宣传绿色防控技术和科学用药知识，增强农民安全用药意识，营造良好社会氛围。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" w:cs="Times New Roman"/>
          <w:b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lang w:val="en-US" w:eastAsia="zh-CN"/>
        </w:rPr>
        <w:t>强化市场监管。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加强农资使用和市场的监督管理，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使用管理，规范农业生产过程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集中开展严厉打击制售假冒伪劣农资行为，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打击假冒伪劣产品，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净化农资市场，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切实维护农民群众利益。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55"/>
    <w:rsid w:val="00C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2020-07-13T01:33:00Z</dcterms:created>
  <dc:creator>Administrator</dc:creator>
  <cp:lastModifiedBy>Administrator</cp:lastModifiedBy>
  <dcterms:modified xsi:type="dcterms:W3CDTF">2020-07-13T01:34:18Z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