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rPr>
          <w:rFonts w:hint="eastAsia" w:eastAsia="仿宋_GB2312"/>
          <w:sz w:val="32"/>
          <w:szCs w:val="32"/>
        </w:rPr>
      </w:pPr>
      <w:r>
        <w:rPr>
          <w:rFonts w:hint="eastAsia" w:eastAsia="仿宋_GB2312"/>
          <w:sz w:val="32"/>
          <w:szCs w:val="32"/>
        </w:rPr>
        <w:t>附件5</w:t>
      </w:r>
    </w:p>
    <w:p>
      <w:pPr>
        <w:snapToGrid w:val="0"/>
        <w:spacing w:line="600" w:lineRule="exact"/>
        <w:jc w:val="center"/>
        <w:rPr>
          <w:rFonts w:hint="eastAsia" w:ascii="方正小标宋简体" w:hAnsi="仿宋" w:eastAsia="方正小标宋简体" w:cs="方正小标宋简体"/>
          <w:b/>
          <w:sz w:val="44"/>
          <w:szCs w:val="44"/>
        </w:rPr>
      </w:pPr>
    </w:p>
    <w:p>
      <w:pPr>
        <w:snapToGrid w:val="0"/>
        <w:spacing w:line="600" w:lineRule="exact"/>
        <w:jc w:val="center"/>
        <w:rPr>
          <w:rFonts w:hint="eastAsia" w:ascii="方正小标宋简体" w:hAnsi="仿宋" w:eastAsia="方正小标宋简体" w:cs="方正小标宋简体"/>
          <w:bCs/>
          <w:sz w:val="44"/>
          <w:szCs w:val="44"/>
        </w:rPr>
      </w:pPr>
      <w:r>
        <w:rPr>
          <w:rFonts w:hint="eastAsia" w:ascii="方正小标宋简体" w:hAnsi="仿宋" w:eastAsia="方正小标宋简体" w:cs="方正小标宋简体"/>
          <w:bCs/>
          <w:sz w:val="44"/>
          <w:szCs w:val="44"/>
          <w:lang w:bidi="ar"/>
        </w:rPr>
        <w:t>2018年农机购置补贴项目绩效考核评估</w:t>
      </w:r>
    </w:p>
    <w:p>
      <w:pPr>
        <w:snapToGrid w:val="0"/>
        <w:spacing w:line="600" w:lineRule="exact"/>
        <w:jc w:val="center"/>
        <w:rPr>
          <w:rFonts w:hint="eastAsia" w:ascii="方正小标宋简体" w:hAnsi="仿宋" w:eastAsia="方正小标宋简体" w:cs="方正小标宋简体"/>
          <w:bCs/>
          <w:sz w:val="44"/>
          <w:szCs w:val="44"/>
        </w:rPr>
      </w:pPr>
      <w:r>
        <w:rPr>
          <w:rFonts w:hint="eastAsia" w:ascii="方正小标宋简体" w:hAnsi="仿宋" w:eastAsia="方正小标宋简体" w:cs="方正小标宋简体"/>
          <w:bCs/>
          <w:sz w:val="44"/>
          <w:szCs w:val="44"/>
          <w:lang w:bidi="ar"/>
        </w:rPr>
        <w:t>实施方案</w:t>
      </w:r>
    </w:p>
    <w:p>
      <w:pPr>
        <w:snapToGrid w:val="0"/>
        <w:spacing w:line="600" w:lineRule="exact"/>
        <w:ind w:firstLine="640" w:firstLineChars="200"/>
        <w:rPr>
          <w:rFonts w:hint="eastAsia" w:ascii="仿宋" w:hAnsi="仿宋" w:eastAsia="仿宋" w:cs="仿宋"/>
          <w:sz w:val="32"/>
          <w:szCs w:val="32"/>
        </w:rPr>
      </w:pP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为深入贯彻落实中央有关农业农村经济工作的重大决策部署和关于加快政府职能转变，推进政府绩效管理的战略目标，进一步推动农机购置补贴政策科学、高效、规范、廉洁实施，确保农机购置补贴强农惠农政策落实到位，取得实效，根据农业部和自治区关于农机购置补贴延伸绩效管理和我区农机购置补贴绩效管理工作的实际，制订本实施方案。</w:t>
      </w:r>
    </w:p>
    <w:p>
      <w:pPr>
        <w:snapToGrid w:val="0"/>
        <w:spacing w:line="600" w:lineRule="exact"/>
        <w:ind w:firstLine="640" w:firstLineChars="200"/>
        <w:rPr>
          <w:rFonts w:hint="eastAsia" w:ascii="黑体" w:hAnsi="宋体" w:eastAsia="黑体" w:cs="黑体"/>
          <w:color w:val="000000"/>
          <w:sz w:val="32"/>
          <w:szCs w:val="32"/>
        </w:rPr>
      </w:pPr>
      <w:r>
        <w:rPr>
          <w:rFonts w:hint="eastAsia" w:ascii="黑体" w:hAnsi="宋体" w:eastAsia="黑体" w:cs="黑体"/>
          <w:color w:val="000000"/>
          <w:sz w:val="32"/>
          <w:szCs w:val="32"/>
          <w:lang w:bidi="ar"/>
        </w:rPr>
        <w:t>一、总体思路和原则</w:t>
      </w:r>
    </w:p>
    <w:p>
      <w:pPr>
        <w:spacing w:line="600" w:lineRule="exact"/>
        <w:ind w:firstLine="643" w:firstLineChars="200"/>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lang w:bidi="ar"/>
        </w:rPr>
        <w:t>（一）总体思路</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认真贯彻落实中央</w:t>
      </w:r>
      <w:r>
        <w:rPr>
          <w:rFonts w:hint="eastAsia" w:ascii="仿宋_GB2312" w:hAnsi="仿宋_GB2312" w:eastAsia="仿宋_GB2312" w:cs="仿宋_GB2312"/>
          <w:color w:val="000000"/>
          <w:sz w:val="32"/>
          <w:szCs w:val="32"/>
          <w:lang w:bidi="ar"/>
        </w:rPr>
        <w:t>关于加快政府职能转变，推进政府绩效管理的决策部署，紧紧围绕农业增效、农民增收和农村经济繁荣目标，在全区</w:t>
      </w:r>
      <w:r>
        <w:rPr>
          <w:rFonts w:hint="eastAsia" w:ascii="仿宋_GB2312" w:hAnsi="仿宋_GB2312" w:eastAsia="仿宋_GB2312" w:cs="仿宋_GB2312"/>
          <w:sz w:val="32"/>
          <w:szCs w:val="32"/>
          <w:lang w:bidi="ar"/>
        </w:rPr>
        <w:t>开展农机购置补贴延伸绩效管理，建立以结果为导向的评价体系，客观评价实施成效，提高农机购置补贴政策绩效，促进农业机械化持续、稳定、健康发展。</w:t>
      </w:r>
    </w:p>
    <w:p>
      <w:pPr>
        <w:spacing w:line="600" w:lineRule="exact"/>
        <w:ind w:firstLine="643" w:firstLineChars="200"/>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lang w:bidi="ar"/>
        </w:rPr>
        <w:t>（二）基本原则</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lang w:bidi="ar"/>
        </w:rPr>
        <w:t>一是科学规范、客观公正。</w:t>
      </w:r>
      <w:r>
        <w:rPr>
          <w:rFonts w:hint="eastAsia" w:ascii="仿宋_GB2312" w:hAnsi="仿宋_GB2312" w:eastAsia="仿宋_GB2312" w:cs="仿宋_GB2312"/>
          <w:sz w:val="32"/>
          <w:szCs w:val="32"/>
          <w:lang w:bidi="ar"/>
        </w:rPr>
        <w:t>按照“公开、公平、公正”的要求，科学制定评估程序和方法、量化考核内容和标准，全面、准确、客观地衡量工作绩效。</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lang w:bidi="ar"/>
        </w:rPr>
        <w:t>二是简便易行、稳步推进。</w:t>
      </w:r>
      <w:r>
        <w:rPr>
          <w:rFonts w:hint="eastAsia" w:ascii="仿宋_GB2312" w:hAnsi="仿宋_GB2312" w:eastAsia="仿宋_GB2312" w:cs="仿宋_GB2312"/>
          <w:sz w:val="32"/>
          <w:szCs w:val="32"/>
          <w:lang w:bidi="ar"/>
        </w:rPr>
        <w:t>选择能够衡量政策项目绩效，具有权威性和代表性的关键指标，易于操作和衡量，评估方法和程序要科学简便，按计划稳步推进。</w:t>
      </w:r>
    </w:p>
    <w:p>
      <w:pPr>
        <w:snapToGrid w:val="0"/>
        <w:spacing w:line="600" w:lineRule="exact"/>
        <w:ind w:firstLine="643" w:firstLineChars="200"/>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lang w:bidi="ar"/>
        </w:rPr>
        <w:t>三是定量定性、综合评价。</w:t>
      </w:r>
      <w:r>
        <w:rPr>
          <w:rFonts w:hint="eastAsia" w:ascii="仿宋_GB2312" w:hAnsi="仿宋_GB2312" w:eastAsia="仿宋_GB2312" w:cs="仿宋_GB2312"/>
          <w:sz w:val="32"/>
          <w:szCs w:val="32"/>
          <w:lang w:bidi="ar"/>
        </w:rPr>
        <w:t>评估指标尽量量化，不能量化的定性指标明确评估标准。对每个指标合理赋分，有效实现对政策项目绩效的综合评价。</w:t>
      </w:r>
    </w:p>
    <w:p>
      <w:pPr>
        <w:numPr>
          <w:ilvl w:val="0"/>
          <w:numId w:val="1"/>
        </w:numPr>
        <w:snapToGrid w:val="0"/>
        <w:spacing w:line="600" w:lineRule="exact"/>
        <w:ind w:firstLine="640" w:firstLineChars="200"/>
        <w:rPr>
          <w:rFonts w:hint="eastAsia" w:ascii="仿宋_GB2312" w:hAnsi="仿宋_GB2312" w:eastAsia="仿宋_GB2312" w:cs="仿宋_GB2312"/>
          <w:b/>
          <w:color w:val="000000"/>
          <w:sz w:val="32"/>
          <w:szCs w:val="32"/>
        </w:rPr>
      </w:pPr>
      <w:r>
        <w:rPr>
          <w:rFonts w:hint="eastAsia" w:ascii="黑体" w:hAnsi="宋体" w:eastAsia="黑体" w:cs="黑体"/>
          <w:bCs/>
          <w:sz w:val="32"/>
          <w:szCs w:val="32"/>
          <w:lang w:bidi="ar"/>
        </w:rPr>
        <w:t>实施范围</w:t>
      </w:r>
    </w:p>
    <w:p>
      <w:pPr>
        <w:snapToGrid w:val="0"/>
        <w:spacing w:line="600" w:lineRule="exact"/>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3F4949"/>
          <w:sz w:val="32"/>
          <w:szCs w:val="32"/>
          <w:lang w:bidi="ar"/>
        </w:rPr>
        <w:t>农</w:t>
      </w:r>
      <w:r>
        <w:rPr>
          <w:rFonts w:hint="eastAsia" w:ascii="仿宋_GB2312" w:hAnsi="仿宋_GB2312" w:eastAsia="仿宋_GB2312" w:cs="仿宋_GB2312"/>
          <w:sz w:val="32"/>
          <w:szCs w:val="32"/>
          <w:lang w:bidi="ar"/>
        </w:rPr>
        <w:t>机购置补贴延伸绩效管理实施范围为全区实施农机购置补贴的县（市、区）和农垦集团公司。</w:t>
      </w:r>
    </w:p>
    <w:p>
      <w:pPr>
        <w:numPr>
          <w:ilvl w:val="0"/>
          <w:numId w:val="1"/>
        </w:numPr>
        <w:snapToGrid w:val="0"/>
        <w:spacing w:line="600" w:lineRule="exact"/>
        <w:ind w:firstLine="640" w:firstLineChars="200"/>
        <w:rPr>
          <w:rFonts w:hint="eastAsia" w:ascii="仿宋_GB2312" w:hAnsi="仿宋_GB2312" w:eastAsia="仿宋_GB2312" w:cs="仿宋_GB2312"/>
          <w:b/>
          <w:color w:val="000000"/>
          <w:sz w:val="32"/>
          <w:szCs w:val="32"/>
        </w:rPr>
      </w:pPr>
      <w:r>
        <w:rPr>
          <w:rFonts w:hint="eastAsia" w:ascii="黑体" w:hAnsi="宋体" w:eastAsia="黑体" w:cs="黑体"/>
          <w:bCs/>
          <w:sz w:val="32"/>
          <w:szCs w:val="32"/>
          <w:lang w:bidi="ar"/>
        </w:rPr>
        <w:t>考核内容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F4949"/>
          <w:sz w:val="32"/>
          <w:szCs w:val="32"/>
          <w:lang w:bidi="ar"/>
        </w:rPr>
        <w:t>农</w:t>
      </w:r>
      <w:r>
        <w:rPr>
          <w:rFonts w:hint="eastAsia" w:ascii="仿宋_GB2312" w:hAnsi="仿宋_GB2312" w:eastAsia="仿宋_GB2312" w:cs="仿宋_GB2312"/>
          <w:sz w:val="32"/>
          <w:szCs w:val="32"/>
          <w:lang w:bidi="ar"/>
        </w:rPr>
        <w:t>机购置补贴延伸绩效管理考核内容为农机购置补贴政策执行情况。主要包括组织建设、制度建设、重点工作、执行实施、实施效果、扣分项及一票否决等内容（详见附件）。</w:t>
      </w:r>
    </w:p>
    <w:p>
      <w:pPr>
        <w:spacing w:line="600" w:lineRule="exact"/>
        <w:ind w:firstLine="640" w:firstLineChars="200"/>
        <w:rPr>
          <w:rFonts w:hint="eastAsia" w:ascii="黑体" w:hAnsi="宋体" w:eastAsia="黑体" w:cs="黑体"/>
          <w:b/>
          <w:sz w:val="32"/>
          <w:szCs w:val="32"/>
        </w:rPr>
      </w:pPr>
      <w:r>
        <w:rPr>
          <w:rFonts w:hint="eastAsia" w:ascii="黑体" w:hAnsi="宋体" w:eastAsia="黑体" w:cs="黑体"/>
          <w:bCs/>
          <w:sz w:val="32"/>
          <w:szCs w:val="32"/>
          <w:lang w:bidi="ar"/>
        </w:rPr>
        <w:t>四、考核</w:t>
      </w:r>
      <w:r>
        <w:rPr>
          <w:rFonts w:hint="eastAsia" w:ascii="黑体" w:hAnsi="宋体" w:eastAsia="黑体" w:cs="黑体"/>
          <w:sz w:val="32"/>
          <w:szCs w:val="32"/>
          <w:lang w:bidi="ar"/>
        </w:rPr>
        <w:t>方法</w:t>
      </w:r>
    </w:p>
    <w:p>
      <w:pPr>
        <w:spacing w:line="600" w:lineRule="exact"/>
        <w:ind w:firstLine="64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农机购置补贴延伸绩效考核工作以县（市、区）农机主管部门自评为主，自治区农机局组织检查复核，综合各项指标完成情况得出考核结果，形成综合评价报告。具体工作分为三个阶段：</w:t>
      </w:r>
    </w:p>
    <w:p>
      <w:pPr>
        <w:spacing w:line="600" w:lineRule="exact"/>
        <w:ind w:firstLine="640"/>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lang w:bidi="ar"/>
        </w:rPr>
        <w:t>（一）自我评估</w:t>
      </w:r>
    </w:p>
    <w:p>
      <w:pPr>
        <w:spacing w:line="600" w:lineRule="exact"/>
        <w:ind w:firstLine="64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由各县（市、区）农机主管部门（以下简称县级农机部门）对照绩效管理内容和具体指标，开展自评工作，对每一项指标进行定量打分，形成自评报告，报自治区农牧厅农机局。</w:t>
      </w:r>
    </w:p>
    <w:p>
      <w:pPr>
        <w:spacing w:line="600" w:lineRule="exact"/>
        <w:ind w:firstLine="640"/>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lang w:bidi="ar"/>
        </w:rPr>
        <w:t>（二）检查核实</w:t>
      </w:r>
    </w:p>
    <w:p>
      <w:pPr>
        <w:spacing w:line="600" w:lineRule="exact"/>
        <w:ind w:firstLine="64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自治区农牧厅农机局会同计财处组织相关人员，采取审查资料与实地抽查相结合的方式，对县（市、区）报送的自评报告和自评得分进行查验核实。一是资料审查。对县级农机部门报送的绩效自评报告、证明材料进行核实，并对自评分数进行审核，必要时要求补充相关材料。二是实地考核。组成考核组对各县（市、区）农机购置补贴政策落实情况进行实地抽查，对自评分数进行复核修正。</w:t>
      </w:r>
    </w:p>
    <w:p>
      <w:pPr>
        <w:spacing w:line="600" w:lineRule="exact"/>
        <w:ind w:firstLine="640"/>
        <w:rPr>
          <w:rFonts w:hint="eastAsia" w:ascii="楷体_GB2312" w:hAnsi="仿宋_GB2312" w:eastAsia="楷体_GB2312" w:cs="仿宋_GB2312"/>
          <w:b/>
          <w:sz w:val="32"/>
          <w:szCs w:val="32"/>
          <w:lang w:bidi="ar"/>
        </w:rPr>
      </w:pPr>
      <w:r>
        <w:rPr>
          <w:rFonts w:hint="eastAsia" w:ascii="楷体_GB2312" w:hAnsi="仿宋_GB2312" w:eastAsia="楷体_GB2312" w:cs="仿宋_GB2312"/>
          <w:b/>
          <w:sz w:val="32"/>
          <w:szCs w:val="32"/>
          <w:lang w:bidi="ar"/>
        </w:rPr>
        <w:t>（三）综合评价</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农牧厅农机局根据各县（市、区）自评报告和查验核实情况，组织专家进行农机购置补贴延伸绩效考核结果评定评出优秀、合格、不合格三个档次，并形成农机购置补贴延伸绩效考核综合评价报告。</w:t>
      </w:r>
    </w:p>
    <w:p>
      <w:pPr>
        <w:numPr>
          <w:ilvl w:val="0"/>
          <w:numId w:val="1"/>
        </w:numPr>
        <w:spacing w:line="600" w:lineRule="exact"/>
        <w:ind w:firstLine="640" w:firstLineChars="200"/>
        <w:rPr>
          <w:rFonts w:hint="eastAsia" w:ascii="黑体" w:hAnsi="宋体" w:eastAsia="黑体" w:cs="黑体"/>
          <w:sz w:val="32"/>
          <w:szCs w:val="32"/>
          <w:lang w:bidi="ar"/>
        </w:rPr>
      </w:pPr>
      <w:r>
        <w:rPr>
          <w:rFonts w:hint="eastAsia" w:ascii="黑体" w:hAnsi="宋体" w:eastAsia="黑体" w:cs="黑体"/>
          <w:sz w:val="32"/>
          <w:szCs w:val="32"/>
          <w:lang w:bidi="ar"/>
        </w:rPr>
        <w:t>进度安排</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2018年12月5</w:t>
      </w:r>
      <w:bookmarkStart w:id="0" w:name="_GoBack"/>
      <w:bookmarkEnd w:id="0"/>
      <w:r>
        <w:rPr>
          <w:rFonts w:hint="eastAsia" w:ascii="仿宋_GB2312" w:hAnsi="仿宋_GB2312" w:eastAsia="仿宋_GB2312" w:cs="仿宋_GB2312"/>
          <w:sz w:val="32"/>
          <w:szCs w:val="32"/>
          <w:lang w:bidi="ar"/>
        </w:rPr>
        <w:t>日前，县级农机化主管部门完成自评工作，报送相关材料。</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2019年1月15日前，区农机局组织资料审查和实地考核。</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2019年1月30日前，区农机局完成自评工作，向农业部报送相关材料。</w:t>
      </w:r>
    </w:p>
    <w:p>
      <w:pPr>
        <w:spacing w:line="600" w:lineRule="exact"/>
        <w:ind w:firstLine="627" w:firstLineChars="196"/>
        <w:rPr>
          <w:rFonts w:hint="eastAsia" w:ascii="黑体" w:hAnsi="宋体" w:eastAsia="黑体" w:cs="黑体"/>
          <w:bCs/>
          <w:sz w:val="32"/>
          <w:szCs w:val="32"/>
        </w:rPr>
      </w:pPr>
      <w:r>
        <w:rPr>
          <w:rFonts w:hint="eastAsia" w:ascii="黑体" w:hAnsi="宋体" w:eastAsia="黑体" w:cs="黑体"/>
          <w:bCs/>
          <w:sz w:val="32"/>
          <w:szCs w:val="32"/>
          <w:lang w:bidi="ar"/>
        </w:rPr>
        <w:t>六、结果运用</w:t>
      </w:r>
    </w:p>
    <w:p>
      <w:pPr>
        <w:spacing w:line="60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sz w:val="32"/>
          <w:szCs w:val="32"/>
          <w:lang w:bidi="ar"/>
        </w:rPr>
        <w:t>2018年农机购置补贴延伸绩效考核结果，我局将在2018年全区农机购置补贴会议上予以通报，同时与下一年度项目资金安排挂钩。</w:t>
      </w:r>
      <w:r>
        <w:rPr>
          <w:rFonts w:hint="eastAsia" w:ascii="仿宋_GB2312" w:hAnsi="仿宋_GB2312" w:eastAsia="仿宋_GB2312" w:cs="仿宋_GB2312"/>
          <w:color w:val="000000"/>
          <w:sz w:val="32"/>
          <w:szCs w:val="32"/>
          <w:lang w:bidi="ar"/>
        </w:rPr>
        <w:t>区农机局对考核结果优秀的县（市、区），将在项目资金安排等方面予以倾斜，对在考核中弄虚作假、报送不实考核资料的县（市、区），考核结果直接评定为不合格，并在全区范围内通报。</w:t>
      </w:r>
    </w:p>
    <w:p>
      <w:pPr>
        <w:numPr>
          <w:ilvl w:val="0"/>
          <w:numId w:val="2"/>
        </w:numPr>
        <w:spacing w:line="600" w:lineRule="exact"/>
        <w:ind w:firstLine="640" w:firstLineChars="200"/>
        <w:rPr>
          <w:rFonts w:hint="eastAsia" w:ascii="黑体" w:hAnsi="宋体" w:eastAsia="黑体" w:cs="黑体"/>
          <w:bCs/>
          <w:sz w:val="32"/>
          <w:szCs w:val="32"/>
          <w:lang w:bidi="ar"/>
        </w:rPr>
      </w:pPr>
      <w:r>
        <w:rPr>
          <w:rFonts w:hint="eastAsia" w:ascii="黑体" w:hAnsi="宋体" w:eastAsia="黑体" w:cs="黑体"/>
          <w:bCs/>
          <w:sz w:val="32"/>
          <w:szCs w:val="32"/>
          <w:lang w:bidi="ar"/>
        </w:rPr>
        <w:t>保障措施</w:t>
      </w:r>
    </w:p>
    <w:p>
      <w:pPr>
        <w:spacing w:line="600" w:lineRule="exact"/>
        <w:ind w:left="420" w:left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bidi="ar"/>
        </w:rPr>
        <w:t>（</w:t>
      </w:r>
      <w:r>
        <w:rPr>
          <w:rFonts w:hint="eastAsia" w:ascii="楷体_GB2312" w:hAnsi="楷体_GB2312" w:eastAsia="楷体_GB2312" w:cs="楷体_GB2312"/>
          <w:b/>
          <w:sz w:val="32"/>
          <w:szCs w:val="32"/>
          <w:lang w:bidi="ar"/>
        </w:rPr>
        <w:t>一）加强组织领导。</w:t>
      </w:r>
      <w:r>
        <w:rPr>
          <w:rFonts w:hint="eastAsia" w:ascii="仿宋_GB2312" w:hAnsi="仿宋_GB2312" w:eastAsia="仿宋_GB2312" w:cs="仿宋_GB2312"/>
          <w:sz w:val="32"/>
          <w:szCs w:val="32"/>
          <w:lang w:bidi="ar"/>
        </w:rPr>
        <w:t>自治区农牧厅农机局成立农机购置补贴延伸绩效管理工作领导小组，并会同厅计财处协同推进农机购置补贴绩效管理工作有力有序有效开展。县级农机主管部门也要成立相应工作机构，明确责任科室或牵头部门，加强队伍建设，强化组织协调，确保各项工作顺利推进。</w:t>
      </w:r>
    </w:p>
    <w:p>
      <w:pPr>
        <w:spacing w:line="600" w:lineRule="exact"/>
        <w:ind w:firstLine="66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lang w:bidi="ar"/>
        </w:rPr>
        <w:t>（二）加强培训宣传。</w:t>
      </w:r>
      <w:r>
        <w:rPr>
          <w:rFonts w:hint="eastAsia" w:ascii="仿宋_GB2312" w:hAnsi="仿宋_GB2312" w:eastAsia="仿宋_GB2312" w:cs="仿宋_GB2312"/>
          <w:sz w:val="32"/>
          <w:szCs w:val="32"/>
          <w:lang w:bidi="ar"/>
        </w:rPr>
        <w:t>各县（市、区）要严格按照实施方案要求，认真学习，开展业务培训，安排落实相关工作。同时要加强宣传，努力营造上下联动、齐抓共管的良好氛围。</w:t>
      </w:r>
    </w:p>
    <w:p>
      <w:pPr>
        <w:spacing w:line="600" w:lineRule="exact"/>
        <w:ind w:firstLine="66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lang w:bidi="ar"/>
        </w:rPr>
        <w:t>（三）加强监督检查。</w:t>
      </w:r>
      <w:r>
        <w:rPr>
          <w:rFonts w:hint="eastAsia" w:ascii="仿宋_GB2312" w:hAnsi="仿宋_GB2312" w:eastAsia="仿宋_GB2312" w:cs="仿宋_GB2312"/>
          <w:sz w:val="32"/>
          <w:szCs w:val="32"/>
          <w:lang w:bidi="ar"/>
        </w:rPr>
        <w:t>各县（市、区）要主动把农机购置补贴政策落实情况纳入当地政府绩效管理或目标考核的重要内容。自治区农牧厅农机局将配合计财处认真做好农机购置补贴政策落实情况的监督检查，适时组织开展重点抽查，对发现的问题及时处理，确保政策项目落实到位、取得实效。</w:t>
      </w:r>
    </w:p>
    <w:p>
      <w:pPr>
        <w:spacing w:line="600" w:lineRule="exact"/>
        <w:ind w:firstLine="66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lang w:bidi="ar"/>
        </w:rPr>
        <w:t>（四）严守工作纪律。</w:t>
      </w:r>
      <w:r>
        <w:rPr>
          <w:rFonts w:hint="eastAsia" w:ascii="仿宋_GB2312" w:hAnsi="仿宋_GB2312" w:eastAsia="仿宋_GB2312" w:cs="仿宋_GB2312"/>
          <w:sz w:val="32"/>
          <w:szCs w:val="32"/>
          <w:lang w:bidi="ar"/>
        </w:rPr>
        <w:t>在农机购置补贴延伸绩效管理实施过程中，要认真贯彻落实中央八项规定、严格遵守党风廉政建设各项规定，切实做到</w:t>
      </w:r>
      <w:r>
        <w:rPr>
          <w:rFonts w:hint="eastAsia" w:ascii="仿宋_GB2312" w:hAnsi="仿宋_GB2312" w:eastAsia="仿宋_GB2312" w:cs="仿宋_GB2312"/>
          <w:sz w:val="32"/>
          <w:szCs w:val="32"/>
          <w:lang w:eastAsia="zh-CN" w:bidi="ar"/>
        </w:rPr>
        <w:t>实事求是</w:t>
      </w:r>
      <w:r>
        <w:rPr>
          <w:rFonts w:hint="eastAsia" w:ascii="仿宋_GB2312" w:hAnsi="仿宋_GB2312" w:eastAsia="仿宋_GB2312" w:cs="仿宋_GB2312"/>
          <w:sz w:val="32"/>
          <w:szCs w:val="32"/>
          <w:lang w:bidi="ar"/>
        </w:rPr>
        <w:t>、客观公正。</w:t>
      </w:r>
    </w:p>
    <w:p>
      <w:pPr>
        <w:spacing w:line="600" w:lineRule="exact"/>
        <w:ind w:firstLine="660"/>
        <w:rPr>
          <w:rFonts w:hint="eastAsia" w:ascii="仿宋_GB2312" w:hAnsi="仿宋_GB2312" w:eastAsia="仿宋_GB2312" w:cs="仿宋_GB2312"/>
          <w:sz w:val="32"/>
          <w:szCs w:val="32"/>
        </w:rPr>
      </w:pPr>
    </w:p>
    <w:p>
      <w:pPr>
        <w:spacing w:line="600" w:lineRule="exact"/>
        <w:ind w:firstLine="660"/>
        <w:rPr>
          <w:rFonts w:hint="eastAsia" w:ascii="仿宋_GB2312" w:hAnsi="仿宋_GB2312" w:eastAsia="仿宋_GB2312" w:cs="仿宋_GB2312"/>
          <w:sz w:val="32"/>
          <w:szCs w:val="32"/>
          <w:lang w:bidi="ar"/>
        </w:rPr>
        <w:sectPr>
          <w:footerReference r:id="rId3" w:type="default"/>
          <w:footerReference r:id="rId4" w:type="even"/>
          <w:pgSz w:w="11906" w:h="16838"/>
          <w:pgMar w:top="1417" w:right="1531" w:bottom="1247" w:left="1531"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bidi="ar"/>
        </w:rPr>
        <w:t>附表：2018年</w:t>
      </w:r>
      <w:r>
        <w:rPr>
          <w:rFonts w:hint="eastAsia" w:ascii="仿宋_GB2312" w:hAnsi="仿宋_GB2312" w:eastAsia="仿宋_GB2312" w:cs="仿宋_GB2312"/>
          <w:bCs/>
          <w:kern w:val="0"/>
          <w:sz w:val="32"/>
          <w:szCs w:val="32"/>
          <w:lang w:bidi="ar"/>
        </w:rPr>
        <w:t>农机购置补贴项目绩效考核指标体系</w:t>
      </w:r>
    </w:p>
    <w:tbl>
      <w:tblPr>
        <w:tblStyle w:val="4"/>
        <w:tblW w:w="13910" w:type="dxa"/>
        <w:jc w:val="center"/>
        <w:tblInd w:w="0" w:type="dxa"/>
        <w:tblLayout w:type="fixed"/>
        <w:tblCellMar>
          <w:top w:w="0" w:type="dxa"/>
          <w:left w:w="108" w:type="dxa"/>
          <w:bottom w:w="0" w:type="dxa"/>
          <w:right w:w="108" w:type="dxa"/>
        </w:tblCellMar>
      </w:tblPr>
      <w:tblGrid>
        <w:gridCol w:w="769"/>
        <w:gridCol w:w="1031"/>
        <w:gridCol w:w="1476"/>
        <w:gridCol w:w="365"/>
        <w:gridCol w:w="484"/>
        <w:gridCol w:w="175"/>
        <w:gridCol w:w="7767"/>
        <w:gridCol w:w="957"/>
        <w:gridCol w:w="237"/>
        <w:gridCol w:w="649"/>
      </w:tblGrid>
      <w:tr>
        <w:tblPrEx>
          <w:tblLayout w:type="fixed"/>
          <w:tblCellMar>
            <w:top w:w="0" w:type="dxa"/>
            <w:left w:w="108" w:type="dxa"/>
            <w:bottom w:w="0" w:type="dxa"/>
            <w:right w:w="108" w:type="dxa"/>
          </w:tblCellMar>
        </w:tblPrEx>
        <w:trPr>
          <w:gridAfter w:val="1"/>
          <w:wAfter w:w="649" w:type="dxa"/>
          <w:trHeight w:val="330" w:hRule="atLeast"/>
          <w:jc w:val="center"/>
        </w:trPr>
        <w:tc>
          <w:tcPr>
            <w:tcW w:w="3641" w:type="dxa"/>
            <w:gridSpan w:val="4"/>
            <w:vAlign w:val="center"/>
          </w:tcPr>
          <w:p>
            <w:pPr>
              <w:widowControl/>
              <w:spacing w:line="380" w:lineRule="exact"/>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lang w:bidi="ar"/>
              </w:rPr>
              <w:t>附表:</w:t>
            </w:r>
          </w:p>
        </w:tc>
        <w:tc>
          <w:tcPr>
            <w:tcW w:w="659" w:type="dxa"/>
            <w:gridSpan w:val="2"/>
            <w:vAlign w:val="center"/>
          </w:tcPr>
          <w:p>
            <w:pPr>
              <w:widowControl/>
              <w:spacing w:line="380" w:lineRule="exact"/>
              <w:jc w:val="left"/>
              <w:rPr>
                <w:rFonts w:hint="eastAsia" w:ascii="仿宋_GB2312" w:hAnsi="宋体" w:eastAsia="仿宋_GB2312" w:cs="宋体"/>
                <w:kern w:val="0"/>
                <w:sz w:val="28"/>
                <w:szCs w:val="28"/>
              </w:rPr>
            </w:pPr>
          </w:p>
        </w:tc>
        <w:tc>
          <w:tcPr>
            <w:tcW w:w="8724" w:type="dxa"/>
            <w:gridSpan w:val="2"/>
            <w:vAlign w:val="center"/>
          </w:tcPr>
          <w:p>
            <w:pPr>
              <w:widowControl/>
              <w:spacing w:line="380" w:lineRule="exact"/>
              <w:jc w:val="left"/>
              <w:rPr>
                <w:rFonts w:hint="eastAsia" w:ascii="仿宋_GB2312" w:hAnsi="宋体" w:eastAsia="仿宋_GB2312" w:cs="宋体"/>
                <w:kern w:val="0"/>
                <w:sz w:val="24"/>
                <w:szCs w:val="24"/>
              </w:rPr>
            </w:pPr>
          </w:p>
        </w:tc>
        <w:tc>
          <w:tcPr>
            <w:tcW w:w="237" w:type="dxa"/>
            <w:vAlign w:val="center"/>
          </w:tcPr>
          <w:p>
            <w:pPr>
              <w:widowControl/>
              <w:spacing w:line="380" w:lineRule="exact"/>
              <w:jc w:val="left"/>
              <w:rPr>
                <w:rFonts w:hint="eastAsia"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30" w:hRule="atLeast"/>
          <w:jc w:val="center"/>
        </w:trPr>
        <w:tc>
          <w:tcPr>
            <w:tcW w:w="13910" w:type="dxa"/>
            <w:gridSpan w:val="10"/>
            <w:vAlign w:val="center"/>
          </w:tcPr>
          <w:p>
            <w:pPr>
              <w:widowControl/>
              <w:spacing w:line="380" w:lineRule="exact"/>
              <w:jc w:val="center"/>
              <w:rPr>
                <w:rFonts w:hint="eastAsia" w:ascii="方正小标宋简体" w:hAnsi="宋体" w:eastAsia="方正小标宋简体" w:cs="宋体"/>
                <w:b/>
                <w:kern w:val="0"/>
                <w:sz w:val="32"/>
                <w:szCs w:val="32"/>
              </w:rPr>
            </w:pPr>
            <w:r>
              <w:rPr>
                <w:rFonts w:hint="eastAsia" w:ascii="方正小标宋简体" w:hAnsi="宋体" w:eastAsia="方正小标宋简体" w:cs="宋体"/>
                <w:bCs/>
                <w:kern w:val="0"/>
                <w:sz w:val="32"/>
                <w:szCs w:val="32"/>
                <w:lang w:bidi="ar"/>
              </w:rPr>
              <w:t>2018年农机购置补贴项目绩效考核指标体系</w:t>
            </w:r>
          </w:p>
        </w:tc>
      </w:tr>
      <w:tr>
        <w:tblPrEx>
          <w:tblLayout w:type="fixed"/>
          <w:tblCellMar>
            <w:top w:w="0" w:type="dxa"/>
            <w:left w:w="108" w:type="dxa"/>
            <w:bottom w:w="0" w:type="dxa"/>
            <w:right w:w="108" w:type="dxa"/>
          </w:tblCellMar>
        </w:tblPrEx>
        <w:trPr>
          <w:trHeight w:val="360" w:hRule="atLeast"/>
          <w:jc w:val="center"/>
        </w:trPr>
        <w:tc>
          <w:tcPr>
            <w:tcW w:w="3276" w:type="dxa"/>
            <w:gridSpan w:val="3"/>
            <w:tcBorders>
              <w:top w:val="nil"/>
              <w:left w:val="nil"/>
              <w:bottom w:val="single" w:color="auto" w:sz="4" w:space="0"/>
              <w:right w:val="nil"/>
            </w:tcBorders>
            <w:vAlign w:val="center"/>
          </w:tcPr>
          <w:p>
            <w:pPr>
              <w:widowControl/>
              <w:spacing w:line="380" w:lineRule="exact"/>
              <w:jc w:val="left"/>
              <w:rPr>
                <w:rFonts w:hint="eastAsia"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lang w:bidi="ar"/>
              </w:rPr>
              <w:t>被考核单位全称：</w:t>
            </w:r>
          </w:p>
        </w:tc>
        <w:tc>
          <w:tcPr>
            <w:tcW w:w="849" w:type="dxa"/>
            <w:gridSpan w:val="2"/>
            <w:tcBorders>
              <w:top w:val="nil"/>
              <w:left w:val="nil"/>
              <w:bottom w:val="single" w:color="auto" w:sz="4" w:space="0"/>
              <w:right w:val="nil"/>
            </w:tcBorders>
            <w:vAlign w:val="center"/>
          </w:tcPr>
          <w:p>
            <w:pPr>
              <w:widowControl/>
              <w:spacing w:line="380" w:lineRule="exact"/>
              <w:jc w:val="left"/>
              <w:rPr>
                <w:rFonts w:hint="eastAsia"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lang w:bidi="ar"/>
              </w:rPr>
              <w:t>　</w:t>
            </w:r>
          </w:p>
        </w:tc>
        <w:tc>
          <w:tcPr>
            <w:tcW w:w="7942" w:type="dxa"/>
            <w:gridSpan w:val="2"/>
            <w:tcBorders>
              <w:top w:val="nil"/>
              <w:left w:val="nil"/>
              <w:bottom w:val="single" w:color="auto" w:sz="4" w:space="0"/>
              <w:right w:val="nil"/>
            </w:tcBorders>
            <w:vAlign w:val="center"/>
          </w:tcPr>
          <w:p>
            <w:pPr>
              <w:widowControl/>
              <w:spacing w:line="380" w:lineRule="exact"/>
              <w:jc w:val="left"/>
              <w:rPr>
                <w:rFonts w:hint="eastAsia" w:ascii="仿宋_GB2312" w:hAnsi="仿宋_GB2312" w:eastAsia="仿宋_GB2312" w:cs="仿宋_GB2312"/>
                <w:b/>
                <w:kern w:val="0"/>
                <w:sz w:val="20"/>
                <w:szCs w:val="20"/>
              </w:rPr>
            </w:pPr>
            <w:r>
              <w:rPr>
                <w:rFonts w:hint="eastAsia" w:ascii="仿宋_GB2312" w:hAnsi="仿宋_GB2312" w:eastAsia="仿宋_GB2312" w:cs="仿宋_GB2312"/>
                <w:b/>
                <w:kern w:val="0"/>
                <w:sz w:val="20"/>
                <w:szCs w:val="20"/>
                <w:lang w:bidi="ar"/>
              </w:rPr>
              <w:t>　</w:t>
            </w:r>
          </w:p>
        </w:tc>
        <w:tc>
          <w:tcPr>
            <w:tcW w:w="1843" w:type="dxa"/>
            <w:gridSpan w:val="3"/>
            <w:tcBorders>
              <w:top w:val="nil"/>
              <w:left w:val="nil"/>
              <w:bottom w:val="single" w:color="auto" w:sz="4" w:space="0"/>
              <w:right w:val="nil"/>
            </w:tcBorders>
            <w:vAlign w:val="center"/>
          </w:tcPr>
          <w:p>
            <w:pPr>
              <w:widowControl/>
              <w:spacing w:line="380" w:lineRule="exact"/>
              <w:jc w:val="left"/>
              <w:rPr>
                <w:rFonts w:hint="eastAsia" w:ascii="宋体" w:hAnsi="宋体" w:cs="宋体"/>
                <w:b/>
                <w:kern w:val="0"/>
                <w:sz w:val="20"/>
                <w:szCs w:val="20"/>
              </w:rPr>
            </w:pPr>
            <w:r>
              <w:rPr>
                <w:rFonts w:hint="eastAsia" w:ascii="宋体" w:hAnsi="宋体" w:cs="宋体"/>
                <w:b/>
                <w:kern w:val="0"/>
                <w:sz w:val="20"/>
                <w:szCs w:val="20"/>
                <w:lang w:bidi="ar"/>
              </w:rPr>
              <w:t>　</w:t>
            </w:r>
          </w:p>
        </w:tc>
      </w:tr>
      <w:tr>
        <w:tblPrEx>
          <w:tblLayout w:type="fixed"/>
          <w:tblCellMar>
            <w:top w:w="0" w:type="dxa"/>
            <w:left w:w="108" w:type="dxa"/>
            <w:bottom w:w="0" w:type="dxa"/>
            <w:right w:w="108" w:type="dxa"/>
          </w:tblCellMar>
        </w:tblPrEx>
        <w:trPr>
          <w:trHeight w:val="790" w:hRule="atLeast"/>
          <w:jc w:val="center"/>
        </w:trPr>
        <w:tc>
          <w:tcPr>
            <w:tcW w:w="76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lang w:bidi="ar"/>
              </w:rPr>
              <w:t>序号</w:t>
            </w:r>
          </w:p>
        </w:tc>
        <w:tc>
          <w:tcPr>
            <w:tcW w:w="1031" w:type="dxa"/>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lang w:bidi="ar"/>
              </w:rPr>
              <w:t>一级指标</w:t>
            </w:r>
          </w:p>
        </w:tc>
        <w:tc>
          <w:tcPr>
            <w:tcW w:w="1476" w:type="dxa"/>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lang w:bidi="ar"/>
              </w:rPr>
              <w:t>二级指标</w:t>
            </w:r>
          </w:p>
        </w:tc>
        <w:tc>
          <w:tcPr>
            <w:tcW w:w="849"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lang w:bidi="ar"/>
              </w:rPr>
              <w:t>分值</w:t>
            </w:r>
          </w:p>
        </w:tc>
        <w:tc>
          <w:tcPr>
            <w:tcW w:w="7942"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lang w:bidi="ar"/>
              </w:rPr>
              <w:t>评分标准</w:t>
            </w:r>
          </w:p>
        </w:tc>
        <w:tc>
          <w:tcPr>
            <w:tcW w:w="957" w:type="dxa"/>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r>
              <w:rPr>
                <w:rFonts w:hint="eastAsia" w:ascii="宋体" w:hAnsi="宋体" w:cs="宋体"/>
                <w:b/>
                <w:kern w:val="0"/>
                <w:sz w:val="18"/>
                <w:szCs w:val="18"/>
                <w:lang w:bidi="ar"/>
              </w:rPr>
              <w:t>自评分数</w:t>
            </w:r>
          </w:p>
        </w:tc>
        <w:tc>
          <w:tcPr>
            <w:tcW w:w="886"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r>
              <w:rPr>
                <w:rFonts w:hint="eastAsia" w:ascii="宋体" w:hAnsi="宋体" w:cs="宋体"/>
                <w:b/>
                <w:kern w:val="0"/>
                <w:sz w:val="18"/>
                <w:szCs w:val="18"/>
                <w:lang w:bidi="ar"/>
              </w:rPr>
              <w:t>自治区考核</w:t>
            </w:r>
          </w:p>
        </w:tc>
      </w:tr>
      <w:tr>
        <w:tblPrEx>
          <w:tblLayout w:type="fixed"/>
          <w:tblCellMar>
            <w:top w:w="0" w:type="dxa"/>
            <w:left w:w="108" w:type="dxa"/>
            <w:bottom w:w="0" w:type="dxa"/>
            <w:right w:w="108" w:type="dxa"/>
          </w:tblCellMar>
        </w:tblPrEx>
        <w:trPr>
          <w:trHeight w:val="315" w:hRule="atLeast"/>
          <w:jc w:val="center"/>
        </w:trPr>
        <w:tc>
          <w:tcPr>
            <w:tcW w:w="76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1</w:t>
            </w:r>
          </w:p>
        </w:tc>
        <w:tc>
          <w:tcPr>
            <w:tcW w:w="1031" w:type="dxa"/>
            <w:vMerge w:val="restart"/>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组织建设</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(8分)</w:t>
            </w:r>
          </w:p>
        </w:tc>
        <w:tc>
          <w:tcPr>
            <w:tcW w:w="1476" w:type="dxa"/>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成立工作机构</w:t>
            </w:r>
          </w:p>
        </w:tc>
        <w:tc>
          <w:tcPr>
            <w:tcW w:w="849"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3</w:t>
            </w:r>
          </w:p>
        </w:tc>
        <w:tc>
          <w:tcPr>
            <w:tcW w:w="7942"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按要求成立工作机构的得3分，否则该项不得分。</w:t>
            </w:r>
          </w:p>
        </w:tc>
        <w:tc>
          <w:tcPr>
            <w:tcW w:w="957" w:type="dxa"/>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p>
        </w:tc>
        <w:tc>
          <w:tcPr>
            <w:tcW w:w="886"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p>
        </w:tc>
      </w:tr>
      <w:tr>
        <w:tblPrEx>
          <w:tblLayout w:type="fixed"/>
          <w:tblCellMar>
            <w:top w:w="0" w:type="dxa"/>
            <w:left w:w="108" w:type="dxa"/>
            <w:bottom w:w="0" w:type="dxa"/>
            <w:right w:w="108" w:type="dxa"/>
          </w:tblCellMar>
        </w:tblPrEx>
        <w:trPr>
          <w:trHeight w:val="525" w:hRule="atLeast"/>
          <w:jc w:val="center"/>
        </w:trPr>
        <w:tc>
          <w:tcPr>
            <w:tcW w:w="76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2</w:t>
            </w:r>
          </w:p>
        </w:tc>
        <w:tc>
          <w:tcPr>
            <w:tcW w:w="1031"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1476" w:type="dxa"/>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经费保障</w:t>
            </w:r>
          </w:p>
        </w:tc>
        <w:tc>
          <w:tcPr>
            <w:tcW w:w="849"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5</w:t>
            </w:r>
          </w:p>
        </w:tc>
        <w:tc>
          <w:tcPr>
            <w:tcW w:w="7942"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县级预算安排县本级农机购置补贴工作经费的得2分，县级财政安排的农机购置补贴组织管理工作经费达中央补贴资金总额1.5%的得3分，未达到1.5%的按比例计分。</w:t>
            </w:r>
          </w:p>
        </w:tc>
        <w:tc>
          <w:tcPr>
            <w:tcW w:w="957" w:type="dxa"/>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r>
              <w:rPr>
                <w:rFonts w:hint="eastAsia" w:ascii="宋体" w:hAnsi="宋体" w:cs="宋体"/>
                <w:b/>
                <w:kern w:val="0"/>
                <w:sz w:val="18"/>
                <w:szCs w:val="18"/>
                <w:lang w:bidi="ar"/>
              </w:rPr>
              <w:t>　</w:t>
            </w:r>
          </w:p>
        </w:tc>
        <w:tc>
          <w:tcPr>
            <w:tcW w:w="886"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76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3</w:t>
            </w:r>
          </w:p>
        </w:tc>
        <w:tc>
          <w:tcPr>
            <w:tcW w:w="1031" w:type="dxa"/>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制度建设                                                                                                                          （9分）</w:t>
            </w:r>
          </w:p>
        </w:tc>
        <w:tc>
          <w:tcPr>
            <w:tcW w:w="1476" w:type="dxa"/>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建立健全制度</w:t>
            </w:r>
          </w:p>
        </w:tc>
        <w:tc>
          <w:tcPr>
            <w:tcW w:w="849"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9</w:t>
            </w:r>
          </w:p>
        </w:tc>
        <w:tc>
          <w:tcPr>
            <w:tcW w:w="7942"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建立内控制度、机具核验流程、信息公开制度的得9分，每缺一项制度扣3分。</w:t>
            </w:r>
          </w:p>
        </w:tc>
        <w:tc>
          <w:tcPr>
            <w:tcW w:w="957" w:type="dxa"/>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r>
              <w:rPr>
                <w:rFonts w:hint="eastAsia" w:ascii="宋体" w:hAnsi="宋体" w:cs="宋体"/>
                <w:b/>
                <w:kern w:val="0"/>
                <w:sz w:val="18"/>
                <w:szCs w:val="18"/>
                <w:lang w:bidi="ar"/>
              </w:rPr>
              <w:t>　</w:t>
            </w:r>
          </w:p>
        </w:tc>
        <w:tc>
          <w:tcPr>
            <w:tcW w:w="886"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p>
        </w:tc>
      </w:tr>
      <w:tr>
        <w:tblPrEx>
          <w:tblLayout w:type="fixed"/>
          <w:tblCellMar>
            <w:top w:w="0" w:type="dxa"/>
            <w:left w:w="108" w:type="dxa"/>
            <w:bottom w:w="0" w:type="dxa"/>
            <w:right w:w="108" w:type="dxa"/>
          </w:tblCellMar>
        </w:tblPrEx>
        <w:trPr>
          <w:trHeight w:val="735" w:hRule="atLeast"/>
          <w:jc w:val="center"/>
        </w:trPr>
        <w:tc>
          <w:tcPr>
            <w:tcW w:w="76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4</w:t>
            </w:r>
          </w:p>
        </w:tc>
        <w:tc>
          <w:tcPr>
            <w:tcW w:w="1031" w:type="dxa"/>
            <w:vMerge w:val="restart"/>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重点工作</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（50分）</w:t>
            </w:r>
          </w:p>
        </w:tc>
        <w:tc>
          <w:tcPr>
            <w:tcW w:w="1476" w:type="dxa"/>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购机办理</w:t>
            </w:r>
          </w:p>
        </w:tc>
        <w:tc>
          <w:tcPr>
            <w:tcW w:w="849"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8</w:t>
            </w:r>
          </w:p>
        </w:tc>
        <w:tc>
          <w:tcPr>
            <w:tcW w:w="7942"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审核购机申请的得1分，购机申请信息、资料完整的得1分，补贴机具按规定核验的得1分，喷涂补贴编号和标识的得1分，按照要求公示的的1分，办理挂牌入户的得1分，对补贴额较高机具核查的得2分，以上每项不规范或未完成的不得分。</w:t>
            </w:r>
          </w:p>
        </w:tc>
        <w:tc>
          <w:tcPr>
            <w:tcW w:w="957" w:type="dxa"/>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r>
              <w:rPr>
                <w:rFonts w:hint="eastAsia" w:ascii="宋体" w:hAnsi="宋体" w:cs="宋体"/>
                <w:b/>
                <w:kern w:val="0"/>
                <w:sz w:val="18"/>
                <w:szCs w:val="18"/>
                <w:lang w:bidi="ar"/>
              </w:rPr>
              <w:t>　</w:t>
            </w:r>
          </w:p>
        </w:tc>
        <w:tc>
          <w:tcPr>
            <w:tcW w:w="886"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p>
        </w:tc>
      </w:tr>
      <w:tr>
        <w:tblPrEx>
          <w:tblLayout w:type="fixed"/>
          <w:tblCellMar>
            <w:top w:w="0" w:type="dxa"/>
            <w:left w:w="108" w:type="dxa"/>
            <w:bottom w:w="0" w:type="dxa"/>
            <w:right w:w="108" w:type="dxa"/>
          </w:tblCellMar>
        </w:tblPrEx>
        <w:trPr>
          <w:trHeight w:val="495" w:hRule="atLeast"/>
          <w:jc w:val="center"/>
        </w:trPr>
        <w:tc>
          <w:tcPr>
            <w:tcW w:w="76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5</w:t>
            </w:r>
          </w:p>
        </w:tc>
        <w:tc>
          <w:tcPr>
            <w:tcW w:w="1031"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1476" w:type="dxa"/>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bidi="ar"/>
              </w:rPr>
              <w:t>购机补贴监督检查</w:t>
            </w:r>
          </w:p>
        </w:tc>
        <w:tc>
          <w:tcPr>
            <w:tcW w:w="849"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bidi="ar"/>
              </w:rPr>
              <w:t>4</w:t>
            </w:r>
          </w:p>
        </w:tc>
        <w:tc>
          <w:tcPr>
            <w:tcW w:w="7942"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bidi="ar"/>
              </w:rPr>
              <w:t>按要求监督检查制定方案的得1分，开展一次监督检查的得1分，县级核查率达到100%的得2分，核查率每降低5个百分点的扣1分。</w:t>
            </w:r>
          </w:p>
        </w:tc>
        <w:tc>
          <w:tcPr>
            <w:tcW w:w="957" w:type="dxa"/>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r>
              <w:rPr>
                <w:rFonts w:hint="eastAsia" w:ascii="宋体" w:hAnsi="宋体" w:cs="宋体"/>
                <w:b/>
                <w:kern w:val="0"/>
                <w:sz w:val="18"/>
                <w:szCs w:val="18"/>
                <w:lang w:bidi="ar"/>
              </w:rPr>
              <w:t>　</w:t>
            </w:r>
          </w:p>
        </w:tc>
        <w:tc>
          <w:tcPr>
            <w:tcW w:w="886"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76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6</w:t>
            </w:r>
          </w:p>
        </w:tc>
        <w:tc>
          <w:tcPr>
            <w:tcW w:w="1031"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1476" w:type="dxa"/>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档案管理</w:t>
            </w:r>
          </w:p>
        </w:tc>
        <w:tc>
          <w:tcPr>
            <w:tcW w:w="849"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4</w:t>
            </w:r>
          </w:p>
        </w:tc>
        <w:tc>
          <w:tcPr>
            <w:tcW w:w="7942"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建立农机购置补贴信息资料(含电子)档案库，实行计算机管理；要求纸质和电子信息资料完善、真实并按时限保存。按要求保存的得4分，缺项或不规范的每项扣0.5分。</w:t>
            </w:r>
          </w:p>
        </w:tc>
        <w:tc>
          <w:tcPr>
            <w:tcW w:w="957" w:type="dxa"/>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r>
              <w:rPr>
                <w:rFonts w:hint="eastAsia" w:ascii="宋体" w:hAnsi="宋体" w:cs="宋体"/>
                <w:b/>
                <w:kern w:val="0"/>
                <w:sz w:val="18"/>
                <w:szCs w:val="18"/>
                <w:lang w:bidi="ar"/>
              </w:rPr>
              <w:t>　</w:t>
            </w:r>
          </w:p>
        </w:tc>
        <w:tc>
          <w:tcPr>
            <w:tcW w:w="886"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p>
        </w:tc>
      </w:tr>
      <w:tr>
        <w:tblPrEx>
          <w:tblLayout w:type="fixed"/>
          <w:tblCellMar>
            <w:top w:w="0" w:type="dxa"/>
            <w:left w:w="108" w:type="dxa"/>
            <w:bottom w:w="0" w:type="dxa"/>
            <w:right w:w="108" w:type="dxa"/>
          </w:tblCellMar>
        </w:tblPrEx>
        <w:trPr>
          <w:trHeight w:val="75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8</w:t>
            </w:r>
          </w:p>
        </w:tc>
        <w:tc>
          <w:tcPr>
            <w:tcW w:w="1031"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1476" w:type="dxa"/>
            <w:tcBorders>
              <w:top w:val="single" w:color="auto" w:sz="4" w:space="0"/>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信息公开</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20</w:t>
            </w:r>
          </w:p>
        </w:tc>
        <w:tc>
          <w:tcPr>
            <w:tcW w:w="7942" w:type="dxa"/>
            <w:gridSpan w:val="2"/>
            <w:tcBorders>
              <w:top w:val="single" w:color="auto" w:sz="4" w:space="0"/>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按规定做好自治区农机购置补贴专栏维护工作的得2分，县级农机购置补贴信息公开专栏建设到位并公开农机购置补贴实施方案、操作程序、年度补贴产品种类范围、补贴额一览表、补贴机具信息表、政策咨询电话、投诉举报电话、补贴机具质量投诉电话等信息的得8分；公开上年度享受农机补贴的购机者信息表和农机补贴实施情况公告的得8分；规范补贴信息公开程序，通过媒体向社会开农机补贴信息的得1分，纳入村务公开内容，及时公开公示补贴信息的得1分。</w:t>
            </w:r>
          </w:p>
        </w:tc>
        <w:tc>
          <w:tcPr>
            <w:tcW w:w="957"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r>
              <w:rPr>
                <w:rFonts w:hint="eastAsia" w:ascii="宋体" w:hAnsi="宋体" w:cs="宋体"/>
                <w:b/>
                <w:kern w:val="0"/>
                <w:sz w:val="18"/>
                <w:szCs w:val="18"/>
                <w:lang w:bidi="ar"/>
              </w:rPr>
              <w:t>　</w:t>
            </w:r>
          </w:p>
        </w:tc>
        <w:tc>
          <w:tcPr>
            <w:tcW w:w="886" w:type="dxa"/>
            <w:gridSpan w:val="2"/>
            <w:tcBorders>
              <w:top w:val="single" w:color="auto" w:sz="4" w:space="0"/>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p>
        </w:tc>
      </w:tr>
      <w:tr>
        <w:tblPrEx>
          <w:tblLayout w:type="fixed"/>
          <w:tblCellMar>
            <w:top w:w="0" w:type="dxa"/>
            <w:left w:w="108" w:type="dxa"/>
            <w:bottom w:w="0" w:type="dxa"/>
            <w:right w:w="108" w:type="dxa"/>
          </w:tblCellMar>
        </w:tblPrEx>
        <w:trPr>
          <w:trHeight w:val="52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9</w:t>
            </w:r>
          </w:p>
        </w:tc>
        <w:tc>
          <w:tcPr>
            <w:tcW w:w="10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80" w:lineRule="exact"/>
              <w:ind w:left="-1459" w:leftChars="-695"/>
              <w:jc w:val="left"/>
              <w:rPr>
                <w:rFonts w:hint="eastAsia" w:ascii="仿宋_GB2312" w:hAnsi="仿宋_GB2312" w:eastAsia="仿宋_GB2312" w:cs="仿宋_GB2312"/>
                <w:kern w:val="0"/>
                <w:sz w:val="18"/>
                <w:szCs w:val="18"/>
              </w:rPr>
            </w:pPr>
          </w:p>
        </w:tc>
        <w:tc>
          <w:tcPr>
            <w:tcW w:w="1476" w:type="dxa"/>
            <w:tcBorders>
              <w:top w:val="single" w:color="auto" w:sz="4" w:space="0"/>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廉政风险防控</w:t>
            </w:r>
          </w:p>
        </w:tc>
        <w:tc>
          <w:tcPr>
            <w:tcW w:w="849" w:type="dxa"/>
            <w:gridSpan w:val="2"/>
            <w:tcBorders>
              <w:top w:val="single" w:color="auto" w:sz="4" w:space="0"/>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6</w:t>
            </w:r>
          </w:p>
        </w:tc>
        <w:tc>
          <w:tcPr>
            <w:tcW w:w="7942" w:type="dxa"/>
            <w:gridSpan w:val="2"/>
            <w:tcBorders>
              <w:top w:val="single" w:color="auto" w:sz="4" w:space="0"/>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构建廉政风险防控机制的得2分，深入开展农机购置补贴反腐倡廉警示教育活动的得2分,全面印发警示教育宣传资料的得6分。</w:t>
            </w:r>
          </w:p>
        </w:tc>
        <w:tc>
          <w:tcPr>
            <w:tcW w:w="957"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hint="eastAsia" w:ascii="宋体" w:hAnsi="宋体" w:cs="宋体"/>
                <w:kern w:val="0"/>
                <w:sz w:val="18"/>
                <w:szCs w:val="18"/>
              </w:rPr>
            </w:pPr>
            <w:r>
              <w:rPr>
                <w:rFonts w:hint="eastAsia" w:ascii="宋体" w:hAnsi="宋体" w:cs="宋体"/>
                <w:kern w:val="0"/>
                <w:sz w:val="18"/>
                <w:szCs w:val="18"/>
                <w:lang w:bidi="ar"/>
              </w:rPr>
              <w:t>　</w:t>
            </w:r>
          </w:p>
        </w:tc>
        <w:tc>
          <w:tcPr>
            <w:tcW w:w="886" w:type="dxa"/>
            <w:gridSpan w:val="2"/>
            <w:tcBorders>
              <w:top w:val="single" w:color="auto" w:sz="4" w:space="0"/>
              <w:left w:val="nil"/>
              <w:bottom w:val="single" w:color="auto" w:sz="4" w:space="0"/>
              <w:right w:val="single" w:color="auto" w:sz="4" w:space="0"/>
            </w:tcBorders>
            <w:vAlign w:val="center"/>
          </w:tcPr>
          <w:p>
            <w:pPr>
              <w:widowControl/>
              <w:spacing w:line="38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00" w:hRule="atLeast"/>
          <w:jc w:val="center"/>
        </w:trPr>
        <w:tc>
          <w:tcPr>
            <w:tcW w:w="76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10</w:t>
            </w:r>
          </w:p>
        </w:tc>
        <w:tc>
          <w:tcPr>
            <w:tcW w:w="103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476" w:type="dxa"/>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投诉处理</w:t>
            </w:r>
          </w:p>
        </w:tc>
        <w:tc>
          <w:tcPr>
            <w:tcW w:w="849"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4</w:t>
            </w:r>
          </w:p>
        </w:tc>
        <w:tc>
          <w:tcPr>
            <w:tcW w:w="7942"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有效调查处理并及时上报的得4分，未有效处理群众投诉并上报的每起扣1分，扣完为止。</w:t>
            </w:r>
          </w:p>
        </w:tc>
        <w:tc>
          <w:tcPr>
            <w:tcW w:w="957" w:type="dxa"/>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kern w:val="0"/>
                <w:sz w:val="18"/>
                <w:szCs w:val="18"/>
              </w:rPr>
            </w:pPr>
            <w:r>
              <w:rPr>
                <w:rFonts w:hint="eastAsia" w:ascii="宋体" w:hAnsi="宋体" w:cs="宋体"/>
                <w:kern w:val="0"/>
                <w:sz w:val="18"/>
                <w:szCs w:val="18"/>
                <w:lang w:bidi="ar"/>
              </w:rPr>
              <w:t>　</w:t>
            </w:r>
          </w:p>
        </w:tc>
        <w:tc>
          <w:tcPr>
            <w:tcW w:w="886"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30" w:hRule="atLeast"/>
          <w:jc w:val="center"/>
        </w:trPr>
        <w:tc>
          <w:tcPr>
            <w:tcW w:w="76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11</w:t>
            </w:r>
          </w:p>
        </w:tc>
        <w:tc>
          <w:tcPr>
            <w:tcW w:w="103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476" w:type="dxa"/>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补贴系统应用</w:t>
            </w:r>
          </w:p>
        </w:tc>
        <w:tc>
          <w:tcPr>
            <w:tcW w:w="849"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4</w:t>
            </w:r>
          </w:p>
        </w:tc>
        <w:tc>
          <w:tcPr>
            <w:tcW w:w="7942"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使用并全面落实《全国农机购置补贴辅助管理系统管理规程》的得1分，辅助管理系统中的补贴数据信息录入准确、安全保存的得3分</w:t>
            </w:r>
          </w:p>
        </w:tc>
        <w:tc>
          <w:tcPr>
            <w:tcW w:w="957" w:type="dxa"/>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r>
              <w:rPr>
                <w:rFonts w:hint="eastAsia" w:ascii="宋体" w:hAnsi="宋体" w:cs="宋体"/>
                <w:b/>
                <w:kern w:val="0"/>
                <w:sz w:val="18"/>
                <w:szCs w:val="18"/>
                <w:lang w:bidi="ar"/>
              </w:rPr>
              <w:t>　</w:t>
            </w:r>
          </w:p>
        </w:tc>
        <w:tc>
          <w:tcPr>
            <w:tcW w:w="886"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p>
        </w:tc>
      </w:tr>
      <w:tr>
        <w:tblPrEx>
          <w:tblLayout w:type="fixed"/>
          <w:tblCellMar>
            <w:top w:w="0" w:type="dxa"/>
            <w:left w:w="108" w:type="dxa"/>
            <w:bottom w:w="0" w:type="dxa"/>
            <w:right w:w="108" w:type="dxa"/>
          </w:tblCellMar>
        </w:tblPrEx>
        <w:trPr>
          <w:trHeight w:val="345" w:hRule="atLeast"/>
          <w:jc w:val="center"/>
        </w:trPr>
        <w:tc>
          <w:tcPr>
            <w:tcW w:w="76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12</w:t>
            </w:r>
          </w:p>
        </w:tc>
        <w:tc>
          <w:tcPr>
            <w:tcW w:w="10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执行实施                                                                                                             （23分）</w:t>
            </w:r>
          </w:p>
        </w:tc>
        <w:tc>
          <w:tcPr>
            <w:tcW w:w="1476" w:type="dxa"/>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资金使用和结算</w:t>
            </w:r>
          </w:p>
        </w:tc>
        <w:tc>
          <w:tcPr>
            <w:tcW w:w="849"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20</w:t>
            </w:r>
          </w:p>
        </w:tc>
        <w:tc>
          <w:tcPr>
            <w:tcW w:w="7942"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全县年度农机购置补贴资金完成95%以上的得12分，90-95&amp;按比例得分，低于90%不得分，兑付资金比例达到95%以上的得8分，85-95%按比例得分，低于85%不得分。</w:t>
            </w:r>
          </w:p>
        </w:tc>
        <w:tc>
          <w:tcPr>
            <w:tcW w:w="957" w:type="dxa"/>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kern w:val="0"/>
                <w:sz w:val="18"/>
                <w:szCs w:val="18"/>
              </w:rPr>
            </w:pPr>
            <w:r>
              <w:rPr>
                <w:rFonts w:hint="eastAsia" w:ascii="宋体" w:hAnsi="宋体" w:cs="宋体"/>
                <w:kern w:val="0"/>
                <w:sz w:val="18"/>
                <w:szCs w:val="18"/>
                <w:lang w:bidi="ar"/>
              </w:rPr>
              <w:t>　</w:t>
            </w:r>
          </w:p>
        </w:tc>
        <w:tc>
          <w:tcPr>
            <w:tcW w:w="886"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45" w:hRule="atLeast"/>
          <w:jc w:val="center"/>
        </w:trPr>
        <w:tc>
          <w:tcPr>
            <w:tcW w:w="76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13</w:t>
            </w:r>
          </w:p>
        </w:tc>
        <w:tc>
          <w:tcPr>
            <w:tcW w:w="103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476" w:type="dxa"/>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材料上报</w:t>
            </w:r>
          </w:p>
        </w:tc>
        <w:tc>
          <w:tcPr>
            <w:tcW w:w="849"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3</w:t>
            </w:r>
          </w:p>
        </w:tc>
        <w:tc>
          <w:tcPr>
            <w:tcW w:w="7942"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按要求上报材料的得3分，报送数量不完整、不及时或存在明显错误的每次扣0.5分。</w:t>
            </w:r>
          </w:p>
        </w:tc>
        <w:tc>
          <w:tcPr>
            <w:tcW w:w="957" w:type="dxa"/>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kern w:val="0"/>
                <w:sz w:val="18"/>
                <w:szCs w:val="18"/>
              </w:rPr>
            </w:pPr>
          </w:p>
        </w:tc>
        <w:tc>
          <w:tcPr>
            <w:tcW w:w="886"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76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14</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实施效果                                                                                                                      （10分）</w:t>
            </w:r>
          </w:p>
        </w:tc>
        <w:tc>
          <w:tcPr>
            <w:tcW w:w="1476" w:type="dxa"/>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工作成绩突出（10分）</w:t>
            </w:r>
          </w:p>
        </w:tc>
        <w:tc>
          <w:tcPr>
            <w:tcW w:w="849"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10</w:t>
            </w:r>
          </w:p>
        </w:tc>
        <w:tc>
          <w:tcPr>
            <w:tcW w:w="7942"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通过实施农机购置补贴，完成自治区农机局下达耕种收综合机械化水平预期目标完成的得10分，每降低1个百分点扣2分，扣完为止。</w:t>
            </w:r>
          </w:p>
        </w:tc>
        <w:tc>
          <w:tcPr>
            <w:tcW w:w="957" w:type="dxa"/>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bidi="ar"/>
              </w:rPr>
              <w:t>　</w:t>
            </w:r>
          </w:p>
        </w:tc>
        <w:tc>
          <w:tcPr>
            <w:tcW w:w="886"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76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15</w:t>
            </w:r>
          </w:p>
        </w:tc>
        <w:tc>
          <w:tcPr>
            <w:tcW w:w="1031" w:type="dxa"/>
            <w:vMerge w:val="restart"/>
            <w:tcBorders>
              <w:top w:val="single" w:color="auto" w:sz="4" w:space="0"/>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扣分项及</w:t>
            </w:r>
          </w:p>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一票否决</w:t>
            </w:r>
          </w:p>
        </w:tc>
        <w:tc>
          <w:tcPr>
            <w:tcW w:w="2325" w:type="dxa"/>
            <w:gridSpan w:val="3"/>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重大违法违规</w:t>
            </w:r>
          </w:p>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　</w:t>
            </w:r>
          </w:p>
        </w:tc>
        <w:tc>
          <w:tcPr>
            <w:tcW w:w="7942"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经公安、检察、监察、审计、财政监督机构等查处存在重大违法违规行为并造成恶劣影响的，一票否决，总体评分为零。</w:t>
            </w:r>
          </w:p>
        </w:tc>
        <w:tc>
          <w:tcPr>
            <w:tcW w:w="957" w:type="dxa"/>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bidi="ar"/>
              </w:rPr>
              <w:t>　</w:t>
            </w:r>
          </w:p>
        </w:tc>
        <w:tc>
          <w:tcPr>
            <w:tcW w:w="886"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76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16</w:t>
            </w:r>
          </w:p>
        </w:tc>
        <w:tc>
          <w:tcPr>
            <w:tcW w:w="1031" w:type="dxa"/>
            <w:vMerge w:val="continue"/>
            <w:tcBorders>
              <w:top w:val="single" w:color="auto" w:sz="4" w:space="0"/>
              <w:left w:val="nil"/>
              <w:bottom w:val="single" w:color="auto" w:sz="4" w:space="0"/>
              <w:right w:val="single" w:color="auto" w:sz="4" w:space="0"/>
            </w:tcBorders>
            <w:vAlign w:val="center"/>
          </w:tcPr>
          <w:p>
            <w:pPr>
              <w:rPr>
                <w:sz w:val="20"/>
                <w:szCs w:val="20"/>
              </w:rPr>
            </w:pPr>
          </w:p>
        </w:tc>
        <w:tc>
          <w:tcPr>
            <w:tcW w:w="2325" w:type="dxa"/>
            <w:gridSpan w:val="3"/>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出现弄虚作假行为</w:t>
            </w:r>
          </w:p>
        </w:tc>
        <w:tc>
          <w:tcPr>
            <w:tcW w:w="7942"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经农牧厅农机局在延伸绩效考核中发现县级有弄虚作假行为的，一次扣20分</w:t>
            </w:r>
          </w:p>
        </w:tc>
        <w:tc>
          <w:tcPr>
            <w:tcW w:w="957" w:type="dxa"/>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宋体" w:eastAsia="仿宋_GB2312" w:cs="宋体"/>
                <w:kern w:val="0"/>
                <w:sz w:val="18"/>
                <w:szCs w:val="18"/>
              </w:rPr>
            </w:pPr>
          </w:p>
        </w:tc>
        <w:tc>
          <w:tcPr>
            <w:tcW w:w="886"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482" w:hRule="atLeast"/>
          <w:jc w:val="center"/>
        </w:trPr>
        <w:tc>
          <w:tcPr>
            <w:tcW w:w="3276"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合    计</w:t>
            </w:r>
          </w:p>
        </w:tc>
        <w:tc>
          <w:tcPr>
            <w:tcW w:w="849"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100</w:t>
            </w:r>
          </w:p>
        </w:tc>
        <w:tc>
          <w:tcPr>
            <w:tcW w:w="7942"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bidi="ar"/>
              </w:rPr>
              <w:t>　</w:t>
            </w:r>
          </w:p>
        </w:tc>
        <w:tc>
          <w:tcPr>
            <w:tcW w:w="957" w:type="dxa"/>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r>
              <w:rPr>
                <w:rFonts w:hint="eastAsia" w:ascii="宋体" w:hAnsi="宋体" w:cs="宋体"/>
                <w:b/>
                <w:kern w:val="0"/>
                <w:sz w:val="18"/>
                <w:szCs w:val="18"/>
                <w:lang w:bidi="ar"/>
              </w:rPr>
              <w:t>　</w:t>
            </w:r>
          </w:p>
        </w:tc>
        <w:tc>
          <w:tcPr>
            <w:tcW w:w="886" w:type="dxa"/>
            <w:gridSpan w:val="2"/>
            <w:tcBorders>
              <w:top w:val="nil"/>
              <w:left w:val="nil"/>
              <w:bottom w:val="single" w:color="auto" w:sz="4" w:space="0"/>
              <w:right w:val="single" w:color="auto" w:sz="4" w:space="0"/>
            </w:tcBorders>
            <w:vAlign w:val="center"/>
          </w:tcPr>
          <w:p>
            <w:pPr>
              <w:widowControl/>
              <w:spacing w:line="380" w:lineRule="exact"/>
              <w:jc w:val="center"/>
              <w:rPr>
                <w:rFonts w:hint="eastAsia" w:ascii="宋体" w:hAnsi="宋体" w:cs="宋体"/>
                <w:b/>
                <w:kern w:val="0"/>
                <w:sz w:val="18"/>
                <w:szCs w:val="18"/>
              </w:rPr>
            </w:pPr>
          </w:p>
        </w:tc>
      </w:tr>
    </w:tbl>
    <w:p>
      <w:pPr>
        <w:tabs>
          <w:tab w:val="left" w:pos="3422"/>
        </w:tabs>
        <w:jc w:val="left"/>
        <w:rPr>
          <w:rFonts w:hint="eastAsia"/>
        </w:rPr>
        <w:sectPr>
          <w:pgSz w:w="16838" w:h="11906" w:orient="landscape"/>
          <w:pgMar w:top="1531" w:right="1417" w:bottom="1531" w:left="1247" w:header="851" w:footer="992" w:gutter="0"/>
          <w:pgNumType w:fmt="numberInDash"/>
          <w:cols w:space="720" w:num="1"/>
          <w:docGrid w:type="lines" w:linePitch="31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- 27 -</w:t>
                          </w:r>
                          <w:r>
                            <w:rPr>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- 27 -</w:t>
                    </w:r>
                    <w:r>
                      <w:rPr>
                        <w:rFonts w:hint="eastAsia"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- 28 -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093A29"/>
    <w:multiLevelType w:val="singleLevel"/>
    <w:tmpl w:val="D8093A29"/>
    <w:lvl w:ilvl="0" w:tentative="0">
      <w:start w:val="7"/>
      <w:numFmt w:val="chineseCounting"/>
      <w:suff w:val="nothing"/>
      <w:lvlText w:val="%1、"/>
      <w:lvlJc w:val="left"/>
      <w:rPr>
        <w:rFonts w:hint="eastAsia"/>
      </w:rPr>
    </w:lvl>
  </w:abstractNum>
  <w:abstractNum w:abstractNumId="1">
    <w:nsid w:val="6F8A94D8"/>
    <w:multiLevelType w:val="multilevel"/>
    <w:tmpl w:val="6F8A94D8"/>
    <w:lvl w:ilvl="0" w:tentative="0">
      <w:start w:val="2"/>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E125B"/>
    <w:rsid w:val="109A37E3"/>
    <w:rsid w:val="26FE125B"/>
    <w:rsid w:val="3382370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2018-05-22T02:30:00Z</dcterms:created>
  <dc:creator>Administrator</dc:creator>
  <cp:lastModifiedBy>Administrator</cp:lastModifiedBy>
  <dcterms:modified xsi:type="dcterms:W3CDTF">2022-12-13T08:00:03Z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46186D5871A14360BC6A3F899BE58A73</vt:lpwstr>
  </property>
</Properties>
</file>