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left="0" w:leftChars="0" w:right="0" w:rightChars="0"/>
        <w:outlineLvl w:val="9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沙坡头区2025年新型农业经营主体能力提升项目绩效评估方案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自治区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有关加强预算项目绩效管理的要求，为进一步规范项目管理，充分发挥资金引导和使用效益，做好农业经营主体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"/>
        </w:rPr>
        <w:t>能力提升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项目绩效评估工作，制定本方案。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 w:right="0" w:rightChars="0" w:firstLine="320" w:firstLineChars="100"/>
        <w:jc w:val="both"/>
        <w:textAlignment w:val="baseline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  <w:t>一、总体思路和原则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lang w:eastAsia="zh-CN"/>
        </w:rPr>
        <w:t>（一）总体思路。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贯彻落实中央关于加快政府职能转变，推进政府绩效管理的决策部署，紧紧围绕帮助农民、提高农民、富裕农民，以创新经营机制和转变农业发展方式为主线，按照多元化、多路径、多模式、多形式的经营发展模式，推动新型农业经营主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"/>
        </w:rPr>
        <w:t>生产经营提升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，示范带动能力增强。通过项目实施，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"/>
        </w:rPr>
        <w:t>经营主体的规范化运营水平明显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"/>
        </w:rPr>
        <w:t>，规模化、标准化水平有效提高，社员收入有较大增长，主体对小农户的带动服务能力快速提升，全面实施新型农业经营主体能力提升项目绩效管理，建立以结果为导向的评价体系，客观评价实施成效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lang w:eastAsia="zh-CN"/>
        </w:rPr>
        <w:t>（二）基本原则。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一是科学规范，客观公正。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公开、公平、公正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的要求，科学制定评估程序和方法，量化考评内容和标准，全面、准确、客观地衡量资金使用绩效。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二是简便易行，注重效果。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选择能够衡量资金项目绩效，依据各产业特点提出易于操作和衡量的绩效评估体系、评估方法和程序。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三是定量定性，综合评价。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评估指标以量化指标为主，不能量化的定性指标明确评估标准，对每个合理赋分，有效实现对政策项目绩效的综合评价。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 w:right="0" w:rightChars="0" w:firstLine="320" w:firstLineChars="100"/>
        <w:jc w:val="both"/>
        <w:textAlignment w:val="baseline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  <w:t>二、实施范围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"/>
        </w:rPr>
        <w:t>新型农业经营主体培育，支持县级以上农民合作社示范社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"/>
        </w:rPr>
        <w:t>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及以上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"/>
        </w:rPr>
        <w:t>，支持二星级以上示范家庭农场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"/>
        </w:rPr>
        <w:t>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 w:right="0" w:rightChars="0" w:firstLine="320" w:firstLineChars="100"/>
        <w:jc w:val="both"/>
        <w:textAlignment w:val="baseline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  <w:t>三、考核内容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1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支持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农业经营主体能力提升项目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绩效考核内容主要包括：数量完成情况、质量达到预期目标、时间进度、预期经济效益及社会效益、服务对象满意度评价（详见附表）。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 w:right="0" w:rightChars="0" w:firstLine="320" w:firstLineChars="100"/>
        <w:jc w:val="both"/>
        <w:textAlignment w:val="baseline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  <w:t>四、考核方法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支持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农业经营主体能力提升项目绩效考核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实施主体自评结合农业农村部门组织相关部门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检查复核，综合各项指标完成情况得出考核结果，形成综合评价报告。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 w:right="0" w:rightChars="0" w:firstLine="320" w:firstLineChars="100"/>
        <w:jc w:val="both"/>
        <w:textAlignment w:val="baseline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  <w:t>五、保障措施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lang w:eastAsia="zh-CN"/>
        </w:rPr>
        <w:t>（一）加强组织领导。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农业农村局负责农业经营主体能力提升项目绩效管理工作，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明确牵头部门，强化组织协调，确保各项工作顺利推进。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lang w:eastAsia="zh-CN"/>
        </w:rPr>
        <w:t>（二）加强监督检查。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农业经营主体能力提升项目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纳入政府绩效考核管理或目标考核的重要内容，加强监督检查，对发现的问题及时处理。要坚持专款专用，不得挤占挪用、侵占截留，确保项目落到实处，取得效果。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lang w:eastAsia="zh-CN"/>
        </w:rPr>
        <w:t>（三）严守工作纪律。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在农业经营主体能力提升项目绩效管理实施过程中，认真贯彻落实中央八项规定，严格遵守党风廉政建设各项规定，切实做到实事求是、客观公正。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98" w:leftChars="304" w:right="0" w:rightChars="0" w:hanging="960" w:hangingChars="3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附表：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2025年新型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农业经营主体能力提升项目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绩效考核指标体系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 w:right="0" w:rightChars="0" w:firstLine="320" w:firstLineChars="1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附表</w:t>
      </w:r>
    </w:p>
    <w:tbl>
      <w:tblPr>
        <w:tblStyle w:val="8"/>
        <w:tblW w:w="89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2"/>
        <w:gridCol w:w="506"/>
        <w:gridCol w:w="970"/>
        <w:gridCol w:w="598"/>
        <w:gridCol w:w="1340"/>
        <w:gridCol w:w="605"/>
        <w:gridCol w:w="3547"/>
        <w:gridCol w:w="80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</w:trPr>
        <w:tc>
          <w:tcPr>
            <w:tcW w:w="89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spacing w:val="0"/>
                <w:sz w:val="24"/>
                <w:szCs w:val="24"/>
                <w:lang w:eastAsia="zh-CN"/>
              </w:rPr>
              <w:t>沙坡头区</w:t>
            </w:r>
            <w:r>
              <w:rPr>
                <w:rFonts w:hint="default" w:ascii="Times New Roman" w:hAnsi="Times New Roman" w:eastAsia="方正小标宋简体" w:cs="Times New Roman"/>
                <w:spacing w:val="0"/>
                <w:sz w:val="24"/>
                <w:szCs w:val="24"/>
                <w:lang w:val="en-US" w:eastAsia="zh-CN"/>
              </w:rPr>
              <w:t>2025年新型</w:t>
            </w:r>
            <w:r>
              <w:rPr>
                <w:rFonts w:hint="default" w:ascii="Times New Roman" w:hAnsi="Times New Roman" w:eastAsia="方正小标宋简体" w:cs="Times New Roman"/>
                <w:spacing w:val="0"/>
                <w:sz w:val="24"/>
                <w:szCs w:val="24"/>
                <w:lang w:eastAsia="zh-CN"/>
              </w:rPr>
              <w:t>农业经营主体能力提升（主体培育）项目</w:t>
            </w:r>
            <w:r>
              <w:rPr>
                <w:rFonts w:hint="default" w:ascii="Times New Roman" w:hAnsi="Times New Roman" w:eastAsia="方正小标宋简体" w:cs="Times New Roman"/>
                <w:spacing w:val="0"/>
                <w:sz w:val="24"/>
                <w:szCs w:val="24"/>
              </w:rPr>
              <w:t>绩效考核指标体系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分值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分值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分值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考核内容及评分标准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理</w:t>
            </w:r>
          </w:p>
        </w:tc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组织管理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组织机构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成立组织机构和领导小组得2分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未成立不得分。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实施方案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制定实施方案，并按时上报，得2分，没有实施方案不得分。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承担单位筛选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会议研究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确定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实施内容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，得3分，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否则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不得分。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验收总结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按要求验收评估总结，得3分，未进行验收评估总结不得分。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业务管理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管理制度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制定管理要求或标准，得3分，没有制度不得分。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具体执行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完全按计划及实施方案执行，得7分，未按计划或方案执行酌情扣分。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财务制度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制定或已有相应的资金管理办法，并符合财务会计制度规定，得2分未制定不得分。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资金使用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资金的拨付有完整的审批程序和手续，符合预算批复或合同规定的用途，得6分，资金使用未按合同规定用途的不得分。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财务监控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采取了相应的财务检查等必要的监控措施或手段，得2分，没有监控措施不得分。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效</w:t>
            </w:r>
          </w:p>
        </w:tc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实际完成率90%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—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100%，得9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—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10分；80%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—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90%，得8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—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9分；70%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—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80%，得7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—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8分；70%以下的不得分。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生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kern w:val="0"/>
                <w:sz w:val="20"/>
                <w:szCs w:val="20"/>
                <w:lang w:bidi="ar"/>
              </w:rPr>
              <w:t>产记录完整，管理制度健全，财务制度规范，运营更加规范，得10分；每少一项不达标扣3分，扣完为止。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前完成。按期完成10分；未开展不得分；未完成按进度酌情扣分。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经济效益指标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经济效益明显提升，完成下达任务得15分；未完成，按比例扣分。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通过具体实施，示范带动、引领明显提升得15分；未完成按比例扣分。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指  标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满意度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对周边农户带动效果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明显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群众反映度，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" w:bidi="ar"/>
              </w:rPr>
              <w:t>项目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实施认可度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" w:bidi="ar"/>
              </w:rPr>
              <w:t>根据实际打分，最高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10分。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TFangsong">
    <w:altName w:val="楷体_GB2312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E02FA"/>
    <w:rsid w:val="700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next w:val="4"/>
    <w:uiPriority w:val="0"/>
    <w:pPr>
      <w:spacing w:after="120" w:afterLines="0"/>
      <w:ind w:left="420" w:leftChars="200"/>
    </w:pPr>
  </w:style>
  <w:style w:type="paragraph" w:styleId="4">
    <w:name w:val="header"/>
    <w:basedOn w:val="1"/>
    <w:next w:val="2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Body Text First Indent 2"/>
    <w:basedOn w:val="3"/>
    <w:next w:val="5"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2025-07-08T08:53:00Z</dcterms:created>
  <dc:creator>Administrator</dc:creator>
  <cp:lastModifiedBy>Administrator</cp:lastModifiedBy>
  <dcterms:modified xsi:type="dcterms:W3CDTF">2025-07-08T08:54:01Z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