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沙坡头区2023年新型农业经营主体高质量</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发展培育项目绩效评估方案</w:t>
      </w:r>
    </w:p>
    <w:bookmarkEnd w:id="0"/>
    <w:p>
      <w:pPr>
        <w:pStyle w:val="6"/>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仿宋_GB2312" w:cs="Times New Roman"/>
          <w:snapToGrid w:val="0"/>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有关加强预算项目绩效管理的要求，为进一步规范项目管理，充分发挥资金引导和使用效益，做好农业经营主体</w:t>
      </w:r>
      <w:r>
        <w:rPr>
          <w:rFonts w:hint="default" w:ascii="Times New Roman" w:hAnsi="Times New Roman" w:eastAsia="仿宋_GB2312" w:cs="Times New Roman"/>
          <w:sz w:val="32"/>
          <w:szCs w:val="32"/>
          <w:lang w:eastAsia="zh"/>
        </w:rPr>
        <w:t>能力提升</w:t>
      </w:r>
      <w:r>
        <w:rPr>
          <w:rFonts w:hint="default" w:ascii="Times New Roman" w:hAnsi="Times New Roman" w:eastAsia="仿宋_GB2312" w:cs="Times New Roman"/>
          <w:sz w:val="32"/>
          <w:szCs w:val="32"/>
        </w:rPr>
        <w:t>项目绩效评估工作，制定本方案。</w:t>
      </w:r>
    </w:p>
    <w:p>
      <w:pPr>
        <w:keepNext w:val="0"/>
        <w:keepLines w:val="0"/>
        <w:pageBreakBefore w:val="0"/>
        <w:widowControl/>
        <w:kinsoku/>
        <w:wordWrap/>
        <w:overflowPunct/>
        <w:topLinePunct w:val="0"/>
        <w:autoSpaceDE/>
        <w:autoSpaceDN/>
        <w:bidi w:val="0"/>
        <w:adjustRightInd w:val="0"/>
        <w:snapToGrid w:val="0"/>
        <w:spacing w:line="560" w:lineRule="exact"/>
        <w:ind w:left="645"/>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一、总体思路和原则</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（一）总体思路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中央关于加快政府职能转变，推进政府绩效管理的决策部署，紧紧围绕帮助农民、提高农民、富裕农民，以创新经营机制和转变农业发展方式为主线，按照多元化、多路径、多模式、多形式的经营发展模式，推动新型农业经营主体</w:t>
      </w:r>
      <w:r>
        <w:rPr>
          <w:rFonts w:hint="default" w:ascii="Times New Roman" w:hAnsi="Times New Roman" w:eastAsia="仿宋_GB2312" w:cs="Times New Roman"/>
          <w:sz w:val="32"/>
          <w:szCs w:val="32"/>
          <w:lang w:eastAsia="zh"/>
        </w:rPr>
        <w:t>生产经营提升</w:t>
      </w:r>
      <w:r>
        <w:rPr>
          <w:rFonts w:hint="default" w:ascii="Times New Roman" w:hAnsi="Times New Roman" w:eastAsia="仿宋_GB2312" w:cs="Times New Roman"/>
          <w:sz w:val="32"/>
          <w:szCs w:val="32"/>
        </w:rPr>
        <w:t>，示范带动能力增强。通过项目实施，</w:t>
      </w:r>
      <w:r>
        <w:rPr>
          <w:rFonts w:hint="default" w:ascii="Times New Roman" w:hAnsi="Times New Roman" w:eastAsia="仿宋_GB2312" w:cs="Times New Roman"/>
          <w:sz w:val="32"/>
          <w:szCs w:val="32"/>
          <w:lang w:eastAsia="zh"/>
        </w:rPr>
        <w:t>经营主体的</w:t>
      </w:r>
      <w:r>
        <w:rPr>
          <w:rFonts w:hint="default" w:ascii="Times New Roman" w:hAnsi="Times New Roman" w:eastAsia="仿宋_GB2312" w:cs="Times New Roman"/>
          <w:sz w:val="32"/>
          <w:szCs w:val="32"/>
        </w:rPr>
        <w:t>规范化运营</w:t>
      </w:r>
      <w:r>
        <w:rPr>
          <w:rFonts w:hint="default" w:ascii="Times New Roman" w:hAnsi="Times New Roman" w:eastAsia="仿宋_GB2312" w:cs="Times New Roman"/>
          <w:sz w:val="32"/>
          <w:szCs w:val="32"/>
          <w:lang w:eastAsia="zh"/>
        </w:rPr>
        <w:t>水平明显</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，规模化、标准化水平有效提高，社员收入有较大</w:t>
      </w:r>
      <w:r>
        <w:rPr>
          <w:rFonts w:hint="default" w:ascii="Times New Roman" w:hAnsi="Times New Roman" w:eastAsia="仿宋_GB2312" w:cs="Times New Roman"/>
          <w:sz w:val="32"/>
          <w:szCs w:val="32"/>
          <w:lang w:eastAsia="zh"/>
        </w:rPr>
        <w:t>增长</w:t>
      </w:r>
      <w:r>
        <w:rPr>
          <w:rFonts w:hint="default" w:ascii="Times New Roman" w:hAnsi="Times New Roman" w:eastAsia="仿宋_GB2312" w:cs="Times New Roman"/>
          <w:sz w:val="32"/>
          <w:szCs w:val="32"/>
        </w:rPr>
        <w:t>，主体对小农户的带动服务能力</w:t>
      </w:r>
      <w:r>
        <w:rPr>
          <w:rFonts w:hint="default" w:ascii="Times New Roman" w:hAnsi="Times New Roman" w:eastAsia="仿宋_GB2312" w:cs="Times New Roman"/>
          <w:sz w:val="32"/>
          <w:szCs w:val="32"/>
          <w:lang w:eastAsia="zh"/>
        </w:rPr>
        <w:t>快速</w:t>
      </w:r>
      <w:r>
        <w:rPr>
          <w:rFonts w:hint="default" w:ascii="Times New Roman" w:hAnsi="Times New Roman" w:eastAsia="仿宋_GB2312" w:cs="Times New Roman"/>
          <w:sz w:val="32"/>
          <w:szCs w:val="32"/>
        </w:rPr>
        <w:t>提升，在</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全面实施</w:t>
      </w:r>
      <w:r>
        <w:rPr>
          <w:rFonts w:hint="default" w:ascii="Times New Roman" w:hAnsi="Times New Roman" w:eastAsia="仿宋_GB2312" w:cs="Times New Roman"/>
          <w:sz w:val="32"/>
          <w:szCs w:val="32"/>
          <w:lang w:eastAsia="zh-CN"/>
        </w:rPr>
        <w:t>新型农业经营主体高质量发展培育项目</w:t>
      </w:r>
      <w:r>
        <w:rPr>
          <w:rFonts w:hint="default" w:ascii="Times New Roman" w:hAnsi="Times New Roman" w:eastAsia="仿宋_GB2312" w:cs="Times New Roman"/>
          <w:sz w:val="32"/>
          <w:szCs w:val="32"/>
        </w:rPr>
        <w:t>绩效管理，建立以结果为导向的评价体系，客观评价实施成效。</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eastAsia="zh-CN"/>
        </w:rPr>
        <w:t>（二）</w:t>
      </w:r>
      <w:r>
        <w:rPr>
          <w:rFonts w:hint="default" w:ascii="Times New Roman" w:hAnsi="Times New Roman" w:eastAsia="楷体_GB2312" w:cs="Times New Roman"/>
          <w:b/>
          <w:bCs/>
          <w:color w:val="000000"/>
          <w:sz w:val="32"/>
          <w:szCs w:val="32"/>
        </w:rPr>
        <w:t>基本原则</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一是科学规范，客观公正。</w:t>
      </w:r>
      <w:r>
        <w:rPr>
          <w:rFonts w:hint="default" w:ascii="Times New Roman" w:hAnsi="Times New Roman" w:eastAsia="仿宋_GB2312" w:cs="Times New Roman"/>
          <w:sz w:val="32"/>
          <w:szCs w:val="32"/>
        </w:rPr>
        <w:t>按照“公开、公平、公正”的要求，科学制定评估程序和方法，量化考评内容和标准，全面、准确、客观地衡量资金使用绩效。</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二是简便易行，注重效果。</w:t>
      </w:r>
      <w:r>
        <w:rPr>
          <w:rFonts w:hint="default" w:ascii="Times New Roman" w:hAnsi="Times New Roman" w:eastAsia="仿宋_GB2312" w:cs="Times New Roman"/>
          <w:sz w:val="32"/>
          <w:szCs w:val="32"/>
        </w:rPr>
        <w:t>选择能够衡量资金项目绩效，依据各产业特点提出易于操作和衡量的绩效评估体系、评估方法和程序。</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三是定量定性，综合评价。</w:t>
      </w:r>
      <w:r>
        <w:rPr>
          <w:rFonts w:hint="default" w:ascii="Times New Roman" w:hAnsi="Times New Roman" w:eastAsia="仿宋_GB2312" w:cs="Times New Roman"/>
          <w:sz w:val="32"/>
          <w:szCs w:val="32"/>
        </w:rPr>
        <w:t>评估指标以量化指标为主，不能量化的定性指标明确评估标准，对每个合理赋分，有效实现对政策项目绩效的综合评价。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sz w:val="32"/>
          <w:szCs w:val="32"/>
        </w:rPr>
      </w:pPr>
      <w:r>
        <w:rPr>
          <w:rFonts w:hint="default" w:ascii="Times New Roman" w:hAnsi="Times New Roman" w:eastAsia="黑体" w:cs="Times New Roman"/>
          <w:sz w:val="32"/>
          <w:szCs w:val="32"/>
        </w:rPr>
        <w:t>二、实施范围</w:t>
      </w:r>
    </w:p>
    <w:p>
      <w:pPr>
        <w:keepNext w:val="0"/>
        <w:keepLines w:val="0"/>
        <w:pageBreakBefore w:val="0"/>
        <w:widowControl/>
        <w:kinsoku/>
        <w:wordWrap/>
        <w:overflowPunct/>
        <w:topLinePunct w:val="0"/>
        <w:autoSpaceDE/>
        <w:autoSpaceDN/>
        <w:bidi w:val="0"/>
        <w:adjustRightInd w:val="0"/>
        <w:snapToGrid w:val="0"/>
        <w:spacing w:line="560" w:lineRule="exact"/>
        <w:ind w:firstLine="640"/>
        <w:jc w:val="both"/>
        <w:textAlignment w:val="baseline"/>
        <w:rPr>
          <w:rFonts w:hint="default" w:ascii="Times New Roman" w:hAnsi="Times New Roman" w:eastAsia="仿宋_GB2312" w:cs="Times New Roman"/>
          <w:sz w:val="32"/>
          <w:szCs w:val="32"/>
          <w:lang w:val="en-US" w:eastAsia="zh"/>
        </w:rPr>
      </w:pPr>
      <w:r>
        <w:rPr>
          <w:rFonts w:hint="default" w:ascii="Times New Roman" w:hAnsi="Times New Roman" w:eastAsia="仿宋_GB2312" w:cs="Times New Roman"/>
          <w:sz w:val="32"/>
          <w:szCs w:val="32"/>
          <w:lang w:val="en-US" w:eastAsia="zh"/>
        </w:rPr>
        <w:t>开展粮油规模种植主体单产提升行动，</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val="en-US" w:eastAsia="zh"/>
        </w:rPr>
        <w:t>共</w:t>
      </w:r>
      <w:r>
        <w:rPr>
          <w:rFonts w:hint="default" w:ascii="Times New Roman" w:hAnsi="Times New Roman" w:eastAsia="仿宋_GB2312" w:cs="Times New Roman"/>
          <w:sz w:val="32"/>
          <w:szCs w:val="32"/>
          <w:lang w:val="en-US" w:eastAsia="zh-CN"/>
        </w:rPr>
        <w:t>选取</w:t>
      </w:r>
      <w:r>
        <w:rPr>
          <w:rFonts w:hint="default" w:ascii="Times New Roman" w:hAnsi="Times New Roman" w:eastAsia="仿宋_GB2312" w:cs="Times New Roman"/>
          <w:sz w:val="32"/>
          <w:szCs w:val="32"/>
          <w:lang w:val="en-US" w:eastAsia="zh"/>
        </w:rPr>
        <w:t>种粮型合作社和家庭农场</w:t>
      </w:r>
      <w:r>
        <w:rPr>
          <w:rFonts w:hint="default" w:ascii="Times New Roman" w:hAnsi="Times New Roman" w:eastAsia="仿宋_GB2312" w:cs="Times New Roman"/>
          <w:b w:val="0"/>
          <w:bCs w:val="0"/>
          <w:kern w:val="0"/>
          <w:sz w:val="32"/>
          <w:szCs w:val="32"/>
          <w:lang w:val="en-US" w:eastAsia="zh-CN" w:bidi="ar-SA"/>
        </w:rPr>
        <w:t>24</w:t>
      </w:r>
      <w:r>
        <w:rPr>
          <w:rFonts w:hint="default" w:ascii="Times New Roman" w:hAnsi="Times New Roman" w:eastAsia="仿宋_GB2312" w:cs="Times New Roman"/>
          <w:sz w:val="32"/>
          <w:szCs w:val="32"/>
          <w:lang w:val="en-US" w:eastAsia="zh"/>
        </w:rPr>
        <w:t>家以上；开展生产设施条件改善，</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val="en-US" w:eastAsia="zh"/>
        </w:rPr>
        <w:t>共</w:t>
      </w:r>
      <w:r>
        <w:rPr>
          <w:rFonts w:hint="default" w:ascii="Times New Roman" w:hAnsi="Times New Roman" w:eastAsia="仿宋_GB2312" w:cs="Times New Roman"/>
          <w:sz w:val="32"/>
          <w:szCs w:val="32"/>
          <w:lang w:val="en-US" w:eastAsia="zh-CN"/>
        </w:rPr>
        <w:t>选取</w:t>
      </w:r>
      <w:r>
        <w:rPr>
          <w:rFonts w:hint="default" w:ascii="Times New Roman" w:hAnsi="Times New Roman" w:eastAsia="仿宋_GB2312" w:cs="Times New Roman"/>
          <w:sz w:val="32"/>
          <w:szCs w:val="32"/>
          <w:lang w:val="en-US" w:eastAsia="zh"/>
        </w:rPr>
        <w:t>新型农业经营主体</w:t>
      </w:r>
      <w:r>
        <w:rPr>
          <w:rFonts w:hint="default" w:ascii="Times New Roman" w:hAnsi="Times New Roman" w:eastAsia="仿宋_GB2312" w:cs="Times New Roman"/>
          <w:b w:val="0"/>
          <w:bCs w:val="0"/>
          <w:kern w:val="0"/>
          <w:sz w:val="32"/>
          <w:szCs w:val="32"/>
          <w:lang w:val="en-US" w:eastAsia="zh-CN" w:bidi="ar-SA"/>
        </w:rPr>
        <w:t>18</w:t>
      </w:r>
      <w:r>
        <w:rPr>
          <w:rFonts w:hint="default" w:ascii="Times New Roman" w:hAnsi="Times New Roman" w:eastAsia="仿宋_GB2312" w:cs="Times New Roman"/>
          <w:sz w:val="32"/>
          <w:szCs w:val="32"/>
          <w:lang w:val="en-US" w:eastAsia="zh"/>
        </w:rPr>
        <w:t>家；开展奶业新型农业经营主体培育，</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val="en-US" w:eastAsia="zh"/>
        </w:rPr>
        <w:t>共</w:t>
      </w:r>
      <w:r>
        <w:rPr>
          <w:rFonts w:hint="default" w:ascii="Times New Roman" w:hAnsi="Times New Roman" w:eastAsia="仿宋_GB2312" w:cs="Times New Roman"/>
          <w:sz w:val="32"/>
          <w:szCs w:val="32"/>
          <w:lang w:val="en-US" w:eastAsia="zh-CN"/>
        </w:rPr>
        <w:t>选取</w:t>
      </w:r>
      <w:r>
        <w:rPr>
          <w:rFonts w:hint="default" w:ascii="Times New Roman" w:hAnsi="Times New Roman" w:eastAsia="仿宋_GB2312" w:cs="Times New Roman"/>
          <w:sz w:val="32"/>
          <w:szCs w:val="32"/>
          <w:lang w:val="en-US" w:eastAsia="zh"/>
        </w:rPr>
        <w:t>奶业合作社和家庭牧场</w:t>
      </w:r>
      <w:r>
        <w:rPr>
          <w:rFonts w:hint="default" w:ascii="Times New Roman" w:hAnsi="Times New Roman" w:eastAsia="仿宋_GB2312" w:cs="Times New Roman"/>
          <w:b w:val="0"/>
          <w:bCs w:val="0"/>
          <w:kern w:val="0"/>
          <w:sz w:val="32"/>
          <w:szCs w:val="32"/>
          <w:lang w:val="en-US" w:eastAsia="zh-CN" w:bidi="ar-SA"/>
        </w:rPr>
        <w:t>3</w:t>
      </w:r>
      <w:r>
        <w:rPr>
          <w:rFonts w:hint="default" w:ascii="Times New Roman" w:hAnsi="Times New Roman" w:eastAsia="仿宋_GB2312" w:cs="Times New Roman"/>
          <w:sz w:val="32"/>
          <w:szCs w:val="32"/>
          <w:lang w:val="en-US" w:eastAsia="zh"/>
        </w:rPr>
        <w:t>家；对</w:t>
      </w:r>
      <w:r>
        <w:rPr>
          <w:rFonts w:hint="default" w:ascii="Times New Roman" w:hAnsi="Times New Roman" w:eastAsia="仿宋_GB2312" w:cs="Times New Roman"/>
          <w:b w:val="0"/>
          <w:bCs w:val="0"/>
          <w:kern w:val="0"/>
          <w:sz w:val="32"/>
          <w:szCs w:val="32"/>
          <w:lang w:val="en-US" w:eastAsia="zh" w:bidi="ar-SA"/>
        </w:rPr>
        <w:t>2022</w:t>
      </w:r>
      <w:r>
        <w:rPr>
          <w:rFonts w:hint="default" w:ascii="Times New Roman" w:hAnsi="Times New Roman" w:eastAsia="仿宋_GB2312" w:cs="Times New Roman"/>
          <w:sz w:val="32"/>
          <w:szCs w:val="32"/>
          <w:lang w:val="en-US" w:eastAsia="zh"/>
        </w:rPr>
        <w:t>年底新评定的</w:t>
      </w:r>
      <w:r>
        <w:rPr>
          <w:rFonts w:hint="default" w:ascii="Times New Roman" w:hAnsi="Times New Roman" w:eastAsia="仿宋_GB2312" w:cs="Times New Roman"/>
          <w:b w:val="0"/>
          <w:bCs w:val="0"/>
          <w:kern w:val="0"/>
          <w:sz w:val="32"/>
          <w:szCs w:val="32"/>
          <w:lang w:val="en-US" w:eastAsia="zh" w:bidi="ar-SA"/>
        </w:rPr>
        <w:t>2</w:t>
      </w:r>
      <w:r>
        <w:rPr>
          <w:rFonts w:hint="default" w:ascii="Times New Roman" w:hAnsi="Times New Roman" w:eastAsia="仿宋_GB2312" w:cs="Times New Roman"/>
          <w:sz w:val="32"/>
          <w:szCs w:val="32"/>
          <w:lang w:val="en-US" w:eastAsia="zh"/>
        </w:rPr>
        <w:t>个国家</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val="en-US" w:eastAsia="zh"/>
        </w:rPr>
        <w:t>农民合作社示范社进行奖补。</w:t>
      </w:r>
    </w:p>
    <w:p>
      <w:pPr>
        <w:keepNext w:val="0"/>
        <w:keepLines w:val="0"/>
        <w:pageBreakBefore w:val="0"/>
        <w:widowControl/>
        <w:kinsoku/>
        <w:wordWrap/>
        <w:overflowPunct/>
        <w:topLinePunct w:val="0"/>
        <w:autoSpaceDE/>
        <w:autoSpaceDN/>
        <w:bidi w:val="0"/>
        <w:adjustRightInd w:val="0"/>
        <w:snapToGrid w:val="0"/>
        <w:spacing w:line="560" w:lineRule="exact"/>
        <w:ind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三、考核内容</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1"/>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w:t>
      </w:r>
      <w:r>
        <w:rPr>
          <w:rFonts w:hint="default" w:ascii="Times New Roman" w:hAnsi="Times New Roman" w:eastAsia="仿宋_GB2312" w:cs="Times New Roman"/>
          <w:sz w:val="32"/>
          <w:szCs w:val="32"/>
          <w:lang w:eastAsia="zh-CN"/>
        </w:rPr>
        <w:t>新型农业经营主体高质量发展培育项目</w:t>
      </w:r>
      <w:r>
        <w:rPr>
          <w:rFonts w:hint="default" w:ascii="Times New Roman" w:hAnsi="Times New Roman" w:eastAsia="仿宋_GB2312" w:cs="Times New Roman"/>
          <w:sz w:val="32"/>
          <w:szCs w:val="32"/>
        </w:rPr>
        <w:t>绩效考核内容主要包括：数量完成情况、质量达到预期目标、时间进度、预期经济效益及社会效益、服务对象满意度评价（详见附表）。</w:t>
      </w:r>
    </w:p>
    <w:p>
      <w:pPr>
        <w:keepNext w:val="0"/>
        <w:keepLines w:val="0"/>
        <w:pageBreakBefore w:val="0"/>
        <w:widowControl/>
        <w:kinsoku/>
        <w:wordWrap/>
        <w:overflowPunct/>
        <w:topLinePunct w:val="0"/>
        <w:autoSpaceDE/>
        <w:autoSpaceDN/>
        <w:bidi w:val="0"/>
        <w:adjustRightInd w:val="0"/>
        <w:snapToGrid w:val="0"/>
        <w:spacing w:line="560" w:lineRule="exact"/>
        <w:ind w:firstLine="64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四、考核方法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w:t>
      </w:r>
      <w:r>
        <w:rPr>
          <w:rFonts w:hint="default" w:ascii="Times New Roman" w:hAnsi="Times New Roman" w:eastAsia="仿宋_GB2312" w:cs="Times New Roman"/>
          <w:sz w:val="32"/>
          <w:szCs w:val="32"/>
          <w:lang w:eastAsia="zh-CN"/>
        </w:rPr>
        <w:t>新型农业经营主体高质量发展培育项目绩效考核</w:t>
      </w:r>
      <w:r>
        <w:rPr>
          <w:rFonts w:hint="default" w:ascii="Times New Roman" w:hAnsi="Times New Roman" w:eastAsia="仿宋_GB2312" w:cs="Times New Roman"/>
          <w:sz w:val="32"/>
          <w:szCs w:val="32"/>
        </w:rPr>
        <w:t>工作以</w:t>
      </w:r>
      <w:r>
        <w:rPr>
          <w:rFonts w:hint="default" w:ascii="Times New Roman" w:hAnsi="Times New Roman" w:eastAsia="仿宋_GB2312" w:cs="Times New Roman"/>
          <w:sz w:val="32"/>
          <w:szCs w:val="32"/>
          <w:lang w:eastAsia="zh-CN"/>
        </w:rPr>
        <w:t>实施主体自评结合农业农村部门组织相关部门</w:t>
      </w:r>
      <w:r>
        <w:rPr>
          <w:rFonts w:hint="default" w:ascii="Times New Roman" w:hAnsi="Times New Roman" w:eastAsia="仿宋_GB2312" w:cs="Times New Roman"/>
          <w:sz w:val="32"/>
          <w:szCs w:val="32"/>
        </w:rPr>
        <w:t>检查复核，综合各项指标完成情况得出考核结果，形成综合评价报告。</w:t>
      </w:r>
    </w:p>
    <w:p>
      <w:pPr>
        <w:keepNext w:val="0"/>
        <w:keepLines w:val="0"/>
        <w:pageBreakBefore w:val="0"/>
        <w:widowControl/>
        <w:kinsoku/>
        <w:wordWrap/>
        <w:overflowPunct/>
        <w:topLinePunct w:val="0"/>
        <w:autoSpaceDE/>
        <w:autoSpaceDN/>
        <w:bidi w:val="0"/>
        <w:adjustRightInd w:val="0"/>
        <w:snapToGrid w:val="0"/>
        <w:spacing w:line="560" w:lineRule="exact"/>
        <w:ind w:left="645"/>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五、保障措施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z w:val="32"/>
          <w:szCs w:val="32"/>
          <w:lang w:eastAsia="zh-CN"/>
        </w:rPr>
        <w:t>（一）加强组织领导。</w:t>
      </w:r>
      <w:r>
        <w:rPr>
          <w:rFonts w:hint="default" w:ascii="Times New Roman" w:hAnsi="Times New Roman" w:eastAsia="仿宋_GB2312" w:cs="Times New Roman"/>
          <w:sz w:val="32"/>
          <w:szCs w:val="32"/>
          <w:lang w:eastAsia="zh-CN"/>
        </w:rPr>
        <w:t>农业农村局负责新型农业经营主体高质量发展培育项目绩效管理工作，</w:t>
      </w:r>
      <w:r>
        <w:rPr>
          <w:rFonts w:hint="default" w:ascii="Times New Roman" w:hAnsi="Times New Roman" w:eastAsia="仿宋_GB2312" w:cs="Times New Roman"/>
          <w:sz w:val="32"/>
          <w:szCs w:val="32"/>
        </w:rPr>
        <w:t>成立相应机构，明确牵头部门，强化组织协调，确保各项工作顺利推进。</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z w:val="32"/>
          <w:szCs w:val="32"/>
          <w:lang w:eastAsia="zh-CN"/>
        </w:rPr>
        <w:t>（二）加强监督检查。</w:t>
      </w:r>
      <w:r>
        <w:rPr>
          <w:rFonts w:hint="default" w:ascii="Times New Roman" w:hAnsi="Times New Roman" w:eastAsia="仿宋_GB2312" w:cs="Times New Roman"/>
          <w:sz w:val="32"/>
          <w:szCs w:val="32"/>
        </w:rPr>
        <w:t>把</w:t>
      </w:r>
      <w:r>
        <w:rPr>
          <w:rFonts w:hint="default" w:ascii="Times New Roman" w:hAnsi="Times New Roman" w:eastAsia="仿宋_GB2312" w:cs="Times New Roman"/>
          <w:sz w:val="32"/>
          <w:szCs w:val="32"/>
          <w:lang w:eastAsia="zh-CN"/>
        </w:rPr>
        <w:t>新型农业经营主体高质量发展培育项目</w:t>
      </w:r>
      <w:r>
        <w:rPr>
          <w:rFonts w:hint="default" w:ascii="Times New Roman" w:hAnsi="Times New Roman" w:eastAsia="仿宋_GB2312" w:cs="Times New Roman"/>
          <w:sz w:val="32"/>
          <w:szCs w:val="32"/>
        </w:rPr>
        <w:t xml:space="preserve">纳入政府绩效考核管理或目标考核的重要内容，加强监督检查，对发现的问题及时处理。要坚持专款专用，不得挤占挪用、侵占截留，确保项目落到实处，取得效果。 </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z w:val="32"/>
          <w:szCs w:val="32"/>
          <w:lang w:eastAsia="zh-CN"/>
        </w:rPr>
        <w:t>（三）严守工作纪律。</w:t>
      </w:r>
      <w:r>
        <w:rPr>
          <w:rFonts w:hint="default" w:ascii="Times New Roman" w:hAnsi="Times New Roman" w:eastAsia="仿宋_GB2312" w:cs="Times New Roman"/>
          <w:sz w:val="32"/>
          <w:szCs w:val="32"/>
        </w:rPr>
        <w:t>在新型农业经营主体高质量发展培育项目绩效管理实施过程中，认真贯彻落实中央八项规定，严格遵守党风廉政建设各项规定，切实做到实事求是、客观公正。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1598" w:leftChars="304" w:hanging="960" w:hangingChars="3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b w:val="0"/>
          <w:bCs w:val="0"/>
          <w:kern w:val="0"/>
          <w:sz w:val="32"/>
          <w:szCs w:val="32"/>
          <w:lang w:val="en-US" w:eastAsia="zh-CN" w:bidi="ar-SA"/>
        </w:rPr>
        <w:t>202</w:t>
      </w:r>
      <w:r>
        <w:rPr>
          <w:rFonts w:hint="default" w:ascii="Times New Roman" w:hAnsi="Times New Roman" w:eastAsia="仿宋_GB2312" w:cs="Times New Roman"/>
          <w:b w:val="0"/>
          <w:bCs w:val="0"/>
          <w:kern w:val="0"/>
          <w:sz w:val="32"/>
          <w:szCs w:val="32"/>
          <w:lang w:val="en-US" w:eastAsia="zh" w:bidi="ar-SA"/>
        </w:rPr>
        <w:t>3</w:t>
      </w:r>
      <w:r>
        <w:rPr>
          <w:rFonts w:hint="default" w:ascii="Times New Roman" w:hAnsi="Times New Roman" w:eastAsia="仿宋_GB2312" w:cs="Times New Roman"/>
          <w:b w:val="0"/>
          <w:bCs w:val="0"/>
          <w:kern w:val="0"/>
          <w:sz w:val="32"/>
          <w:szCs w:val="32"/>
          <w:lang w:val="en-US" w:eastAsia="zh-CN" w:bidi="ar-SA"/>
        </w:rPr>
        <w:t>年</w:t>
      </w:r>
      <w:r>
        <w:rPr>
          <w:rFonts w:hint="default" w:ascii="Times New Roman" w:hAnsi="Times New Roman" w:eastAsia="仿宋_GB2312" w:cs="Times New Roman"/>
          <w:sz w:val="32"/>
          <w:szCs w:val="32"/>
          <w:lang w:eastAsia="zh-CN"/>
        </w:rPr>
        <w:t>新型农业经营主体高质量发展培育项目</w:t>
      </w:r>
      <w:r>
        <w:rPr>
          <w:rFonts w:hint="default" w:ascii="Times New Roman" w:hAnsi="Times New Roman" w:eastAsia="仿宋_GB2312" w:cs="Times New Roman"/>
          <w:sz w:val="32"/>
          <w:szCs w:val="32"/>
        </w:rPr>
        <w:t>绩效考核指标体系</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w:t>
      </w:r>
    </w:p>
    <w:tbl>
      <w:tblPr>
        <w:tblStyle w:val="7"/>
        <w:tblW w:w="8960" w:type="dxa"/>
        <w:tblInd w:w="0" w:type="dxa"/>
        <w:tblLayout w:type="fixed"/>
        <w:tblCellMar>
          <w:top w:w="15" w:type="dxa"/>
          <w:left w:w="15" w:type="dxa"/>
          <w:bottom w:w="15" w:type="dxa"/>
          <w:right w:w="15" w:type="dxa"/>
        </w:tblCellMar>
      </w:tblPr>
      <w:tblGrid>
        <w:gridCol w:w="592"/>
        <w:gridCol w:w="506"/>
        <w:gridCol w:w="970"/>
        <w:gridCol w:w="598"/>
        <w:gridCol w:w="1340"/>
        <w:gridCol w:w="605"/>
        <w:gridCol w:w="3547"/>
        <w:gridCol w:w="802"/>
      </w:tblGrid>
      <w:tr>
        <w:tblPrEx>
          <w:tblCellMar>
            <w:top w:w="15" w:type="dxa"/>
            <w:left w:w="15" w:type="dxa"/>
            <w:bottom w:w="15" w:type="dxa"/>
            <w:right w:w="15" w:type="dxa"/>
          </w:tblCellMar>
        </w:tblPrEx>
        <w:trPr>
          <w:trHeight w:val="1022" w:hRule="atLeast"/>
        </w:trPr>
        <w:tc>
          <w:tcPr>
            <w:tcW w:w="8960"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简体" w:cs="Times New Roman"/>
                <w:spacing w:val="0"/>
                <w:sz w:val="32"/>
                <w:szCs w:val="32"/>
                <w:lang w:eastAsia="zh-CN"/>
              </w:rPr>
            </w:pPr>
            <w:r>
              <w:rPr>
                <w:rFonts w:hint="default" w:ascii="Times New Roman" w:hAnsi="Times New Roman" w:eastAsia="方正小标宋简体" w:cs="Times New Roman"/>
                <w:spacing w:val="0"/>
                <w:sz w:val="32"/>
                <w:szCs w:val="32"/>
                <w:lang w:eastAsia="zh-CN"/>
              </w:rPr>
              <w:t>沙坡头区</w:t>
            </w:r>
            <w:r>
              <w:rPr>
                <w:rFonts w:hint="default" w:ascii="Times New Roman" w:hAnsi="Times New Roman" w:eastAsia="方正小标宋简体" w:cs="Times New Roman"/>
                <w:spacing w:val="0"/>
                <w:sz w:val="32"/>
                <w:szCs w:val="32"/>
                <w:lang w:val="en-US" w:eastAsia="zh-CN"/>
              </w:rPr>
              <w:t>2023年</w:t>
            </w:r>
            <w:r>
              <w:rPr>
                <w:rFonts w:hint="default" w:ascii="Times New Roman" w:hAnsi="Times New Roman" w:eastAsia="方正小标宋简体" w:cs="Times New Roman"/>
                <w:spacing w:val="0"/>
                <w:sz w:val="32"/>
                <w:szCs w:val="32"/>
                <w:lang w:eastAsia="zh-CN"/>
              </w:rPr>
              <w:t>新型农业经营主体高质量发展</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cs="Times New Roman"/>
                <w:b/>
                <w:color w:val="000000"/>
                <w:sz w:val="32"/>
                <w:szCs w:val="32"/>
              </w:rPr>
            </w:pPr>
            <w:r>
              <w:rPr>
                <w:rFonts w:hint="default" w:ascii="Times New Roman" w:hAnsi="Times New Roman" w:eastAsia="方正小标宋简体" w:cs="Times New Roman"/>
                <w:spacing w:val="0"/>
                <w:sz w:val="32"/>
                <w:szCs w:val="32"/>
                <w:lang w:eastAsia="zh-CN"/>
              </w:rPr>
              <w:t>培育项目</w:t>
            </w:r>
            <w:r>
              <w:rPr>
                <w:rFonts w:hint="default" w:ascii="Times New Roman" w:hAnsi="Times New Roman" w:eastAsia="方正小标宋简体" w:cs="Times New Roman"/>
                <w:spacing w:val="0"/>
                <w:sz w:val="32"/>
                <w:szCs w:val="32"/>
              </w:rPr>
              <w:t>绩效考核指标体系</w:t>
            </w:r>
          </w:p>
        </w:tc>
      </w:tr>
      <w:tr>
        <w:tblPrEx>
          <w:tblCellMar>
            <w:top w:w="15" w:type="dxa"/>
            <w:left w:w="15" w:type="dxa"/>
            <w:bottom w:w="15" w:type="dxa"/>
            <w:right w:w="15" w:type="dxa"/>
          </w:tblCellMar>
        </w:tblPrEx>
        <w:trPr>
          <w:trHeight w:val="748"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一级</w:t>
            </w:r>
            <w:r>
              <w:rPr>
                <w:rFonts w:hint="default" w:ascii="Times New Roman" w:hAnsi="Times New Roman" w:cs="Times New Roman"/>
                <w:b/>
                <w:color w:val="000000"/>
                <w:kern w:val="0"/>
                <w:sz w:val="20"/>
                <w:szCs w:val="20"/>
                <w:lang w:bidi="ar"/>
              </w:rPr>
              <w:br w:type="textWrapping"/>
            </w:r>
            <w:r>
              <w:rPr>
                <w:rFonts w:hint="default" w:ascii="Times New Roman" w:hAnsi="Times New Roman" w:cs="Times New Roman"/>
                <w:b/>
                <w:color w:val="000000"/>
                <w:kern w:val="0"/>
                <w:sz w:val="20"/>
                <w:szCs w:val="20"/>
                <w:lang w:bidi="ar"/>
              </w:rPr>
              <w:t>指标</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分值</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二级指标</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分值</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三级指标</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分值</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考核内容及评分标准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lang w:bidi="ar"/>
              </w:rPr>
              <w:t>得分</w:t>
            </w:r>
          </w:p>
        </w:tc>
      </w:tr>
      <w:tr>
        <w:tblPrEx>
          <w:tblCellMar>
            <w:top w:w="15" w:type="dxa"/>
            <w:left w:w="15" w:type="dxa"/>
            <w:bottom w:w="15" w:type="dxa"/>
            <w:right w:w="15" w:type="dxa"/>
          </w:tblCellMar>
        </w:tblPrEx>
        <w:trPr>
          <w:trHeight w:val="548" w:hRule="atLeast"/>
        </w:trPr>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实</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施</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管</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理</w:t>
            </w:r>
          </w:p>
        </w:tc>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9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组织管理</w:t>
            </w:r>
          </w:p>
        </w:tc>
        <w:tc>
          <w:tcPr>
            <w:tcW w:w="59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组织机构</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成立组织机构和领导小组得2分</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未成立不得分。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59"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实施方案</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制定实施方案，并按时上报，得2分，没有实施方案不得分。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14"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承担单位筛选</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w:t>
            </w:r>
            <w:r>
              <w:rPr>
                <w:rFonts w:hint="default" w:ascii="Times New Roman" w:hAnsi="Times New Roman" w:eastAsia="宋体" w:cs="Times New Roman"/>
                <w:color w:val="000000"/>
                <w:kern w:val="0"/>
                <w:sz w:val="20"/>
                <w:szCs w:val="20"/>
                <w:lang w:val="en-US" w:eastAsia="zh-CN" w:bidi="ar"/>
              </w:rPr>
              <w:t>会议研究</w:t>
            </w:r>
            <w:r>
              <w:rPr>
                <w:rFonts w:hint="default" w:ascii="Times New Roman" w:hAnsi="Times New Roman" w:cs="Times New Roman"/>
                <w:color w:val="000000"/>
                <w:kern w:val="0"/>
                <w:sz w:val="20"/>
                <w:szCs w:val="20"/>
                <w:lang w:bidi="ar"/>
              </w:rPr>
              <w:t>确定</w:t>
            </w:r>
            <w:r>
              <w:rPr>
                <w:rFonts w:hint="default" w:ascii="Times New Roman" w:hAnsi="Times New Roman" w:eastAsia="宋体" w:cs="Times New Roman"/>
                <w:color w:val="000000"/>
                <w:kern w:val="0"/>
                <w:sz w:val="20"/>
                <w:szCs w:val="20"/>
                <w:lang w:val="en-US" w:eastAsia="zh-CN" w:bidi="ar"/>
              </w:rPr>
              <w:t>实施内容</w:t>
            </w:r>
            <w:r>
              <w:rPr>
                <w:rFonts w:hint="default" w:ascii="Times New Roman" w:hAnsi="Times New Roman" w:cs="Times New Roman"/>
                <w:color w:val="000000"/>
                <w:kern w:val="0"/>
                <w:sz w:val="20"/>
                <w:szCs w:val="20"/>
                <w:lang w:bidi="ar"/>
              </w:rPr>
              <w:t>，得3分，</w:t>
            </w:r>
            <w:r>
              <w:rPr>
                <w:rFonts w:hint="default" w:ascii="Times New Roman" w:hAnsi="Times New Roman" w:eastAsia="宋体" w:cs="Times New Roman"/>
                <w:color w:val="000000"/>
                <w:kern w:val="0"/>
                <w:sz w:val="20"/>
                <w:szCs w:val="20"/>
                <w:lang w:val="en-US" w:eastAsia="zh-CN" w:bidi="ar"/>
              </w:rPr>
              <w:t>否则</w:t>
            </w:r>
            <w:r>
              <w:rPr>
                <w:rFonts w:hint="default" w:ascii="Times New Roman" w:hAnsi="Times New Roman" w:cs="Times New Roman"/>
                <w:color w:val="000000"/>
                <w:kern w:val="0"/>
                <w:sz w:val="20"/>
                <w:szCs w:val="20"/>
                <w:lang w:bidi="ar"/>
              </w:rPr>
              <w:t>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14"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验收总结</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按要求验收评估总结，得3分，未进行验收评估总结不得分。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43"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业务管理</w:t>
            </w:r>
          </w:p>
        </w:tc>
        <w:tc>
          <w:tcPr>
            <w:tcW w:w="5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管理制度</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制定管理要求或标准，得3分，没有制度不得分。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13"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具体执行</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完全按计划及实施方案执行，得7分，未按计划或方案执行酌情扣分。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05"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财务管理</w:t>
            </w:r>
          </w:p>
        </w:tc>
        <w:tc>
          <w:tcPr>
            <w:tcW w:w="5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财务制度</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制定或已有相应的资金管理办法，并符合财务会计制度规定，得2分未制定不得分。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62"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资金使用</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资金的拨付有完整的审批程序和手续，符合预算批复或合同规定的用途，得6分，资金使用未按合同规定用途的不得分。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70"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财务监控</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采取了相应的财务检查等必要的监控措施或手段，得2分，没有监控措施不得分。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732" w:hRule="atLeast"/>
        </w:trPr>
        <w:tc>
          <w:tcPr>
            <w:tcW w:w="5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扶</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持</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绩</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效</w:t>
            </w:r>
          </w:p>
        </w:tc>
        <w:tc>
          <w:tcPr>
            <w:tcW w:w="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70</w:t>
            </w: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产</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指</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标</w:t>
            </w:r>
          </w:p>
        </w:tc>
        <w:tc>
          <w:tcPr>
            <w:tcW w:w="5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数量指标</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实际完成率90%</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100%，得9</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10分；80%</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90%，得8</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9分；70%</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80%，得7</w:t>
            </w:r>
            <w:r>
              <w:rPr>
                <w:rFonts w:hint="default" w:ascii="Times New Roman" w:hAnsi="Times New Roman" w:eastAsia="宋体"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8分；70%以下的不得分。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868"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质量指标</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生</w:t>
            </w:r>
            <w:r>
              <w:rPr>
                <w:rFonts w:hint="default" w:ascii="Times New Roman" w:hAnsi="Times New Roman" w:cs="Times New Roman"/>
                <w:color w:val="000000"/>
                <w:spacing w:val="-3"/>
                <w:kern w:val="0"/>
                <w:sz w:val="20"/>
                <w:szCs w:val="20"/>
                <w:lang w:bidi="ar"/>
              </w:rPr>
              <w:t>产记录完整，管理制度健全，财务制度规范，运营更加规范，得10分；每少一项不达标扣3分，扣完为止。</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04"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时效指标</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202</w:t>
            </w:r>
            <w:r>
              <w:rPr>
                <w:rFonts w:hint="default" w:ascii="Times New Roman" w:hAnsi="Times New Roman" w:cs="Times New Roman"/>
                <w:color w:val="000000"/>
                <w:kern w:val="0"/>
                <w:sz w:val="20"/>
                <w:szCs w:val="20"/>
                <w:lang w:val="en-US" w:eastAsia="zh" w:bidi="ar"/>
              </w:rPr>
              <w:t>3</w:t>
            </w:r>
            <w:r>
              <w:rPr>
                <w:rFonts w:hint="default" w:ascii="Times New Roman" w:hAnsi="Times New Roman" w:cs="Times New Roman"/>
                <w:color w:val="000000"/>
                <w:kern w:val="0"/>
                <w:sz w:val="20"/>
                <w:szCs w:val="20"/>
                <w:lang w:bidi="ar"/>
              </w:rPr>
              <w:t>年11月</w:t>
            </w:r>
            <w:r>
              <w:rPr>
                <w:rFonts w:hint="default" w:ascii="Times New Roman" w:hAnsi="Times New Roman" w:eastAsia="宋体" w:cs="Times New Roman"/>
                <w:color w:val="000000"/>
                <w:kern w:val="0"/>
                <w:sz w:val="20"/>
                <w:szCs w:val="20"/>
                <w:lang w:val="en-US" w:eastAsia="zh-CN" w:bidi="ar"/>
              </w:rPr>
              <w:t>10</w:t>
            </w:r>
            <w:r>
              <w:rPr>
                <w:rFonts w:hint="default" w:ascii="Times New Roman" w:hAnsi="Times New Roman" w:cs="Times New Roman"/>
                <w:color w:val="000000"/>
                <w:kern w:val="0"/>
                <w:sz w:val="20"/>
                <w:szCs w:val="20"/>
                <w:lang w:bidi="ar"/>
              </w:rPr>
              <w:t>前完成。按期完成10分；未开展不得分；未完成按进度酌情扣分。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43"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效</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益</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指</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标</w:t>
            </w:r>
          </w:p>
        </w:tc>
        <w:tc>
          <w:tcPr>
            <w:tcW w:w="59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经济效益指标</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经济效益明显提升，完成下达任务得15分；未完成，按比例扣分。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90"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98"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社会效益指标</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通过具体实施，示范带动、引领明显提升得15分；未完成按比例扣分。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736" w:hRule="atLeast"/>
        </w:trPr>
        <w:tc>
          <w:tcPr>
            <w:tcW w:w="5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cs="Times New Roman"/>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满意度</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指  标</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服务对象</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满意度</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对周边农户带动效果</w:t>
            </w:r>
            <w:r>
              <w:rPr>
                <w:rFonts w:hint="default" w:ascii="Times New Roman" w:hAnsi="Times New Roman" w:eastAsia="宋体" w:cs="Times New Roman"/>
                <w:color w:val="000000"/>
                <w:kern w:val="0"/>
                <w:sz w:val="20"/>
                <w:szCs w:val="20"/>
                <w:lang w:eastAsia="zh-CN" w:bidi="ar"/>
              </w:rPr>
              <w:t>明显</w:t>
            </w:r>
            <w:r>
              <w:rPr>
                <w:rFonts w:hint="default" w:ascii="Times New Roman" w:hAnsi="Times New Roman" w:cs="Times New Roman"/>
                <w:color w:val="000000"/>
                <w:kern w:val="0"/>
                <w:sz w:val="20"/>
                <w:szCs w:val="20"/>
                <w:lang w:bidi="ar"/>
              </w:rPr>
              <w:t>群众反映度，</w:t>
            </w:r>
            <w:r>
              <w:rPr>
                <w:rFonts w:hint="default" w:ascii="Times New Roman" w:hAnsi="Times New Roman" w:cs="Times New Roman"/>
                <w:color w:val="000000"/>
                <w:kern w:val="0"/>
                <w:sz w:val="20"/>
                <w:szCs w:val="20"/>
                <w:lang w:eastAsia="zh" w:bidi="ar"/>
              </w:rPr>
              <w:t>项目</w:t>
            </w:r>
            <w:r>
              <w:rPr>
                <w:rFonts w:hint="default" w:ascii="Times New Roman" w:hAnsi="Times New Roman" w:cs="Times New Roman"/>
                <w:color w:val="000000"/>
                <w:kern w:val="0"/>
                <w:sz w:val="20"/>
                <w:szCs w:val="20"/>
                <w:lang w:bidi="ar"/>
              </w:rPr>
              <w:t>实施认可度</w:t>
            </w:r>
            <w:r>
              <w:rPr>
                <w:rFonts w:hint="default" w:ascii="Times New Roman" w:hAnsi="Times New Roman" w:cs="Times New Roman"/>
                <w:color w:val="000000"/>
                <w:kern w:val="0"/>
                <w:sz w:val="20"/>
                <w:szCs w:val="20"/>
                <w:lang w:eastAsia="zh" w:bidi="ar"/>
              </w:rPr>
              <w:t>根据实际打分，最高</w:t>
            </w:r>
            <w:r>
              <w:rPr>
                <w:rFonts w:hint="default" w:ascii="Times New Roman" w:hAnsi="Times New Roman" w:cs="Times New Roman"/>
                <w:color w:val="000000"/>
                <w:kern w:val="0"/>
                <w:sz w:val="20"/>
                <w:szCs w:val="20"/>
                <w:lang w:bidi="ar"/>
              </w:rPr>
              <w:t>10分。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cs="Times New Roman"/>
                <w:color w:val="000000"/>
                <w:sz w:val="20"/>
                <w:szCs w:val="20"/>
              </w:rPr>
            </w:pPr>
          </w:p>
        </w:tc>
      </w:tr>
    </w:tbl>
    <w:p>
      <w:pPr>
        <w:keepNext w:val="0"/>
        <w:keepLines w:val="0"/>
        <w:pageBreakBefore w:val="0"/>
        <w:widowControl/>
        <w:kinsoku/>
        <w:wordWrap/>
        <w:overflowPunct/>
        <w:topLinePunct w:val="0"/>
        <w:autoSpaceDE/>
        <w:autoSpaceDN/>
        <w:bidi w:val="0"/>
        <w:adjustRightInd w:val="0"/>
        <w:snapToGrid w:val="0"/>
        <w:spacing w:line="560" w:lineRule="exact"/>
        <w:ind w:firstLine="400" w:firstLineChars="200"/>
        <w:jc w:val="both"/>
        <w:textAlignment w:val="baseline"/>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rPr>
          <w:rFonts w:hint="default" w:ascii="Times New Roman" w:hAnsi="Times New Roman" w:eastAsia="仿宋_GB2312" w:cs="Times New Roman"/>
          <w:sz w:val="20"/>
          <w:szCs w:val="20"/>
          <w:lang w:val="en-US" w:eastAsia="zh-CN"/>
        </w:rPr>
      </w:pPr>
    </w:p>
    <w:p>
      <w:pPr>
        <w:rPr>
          <w:rFonts w:hint="default" w:ascii="Times New Roman" w:hAnsi="Times New Roman" w:eastAsia="仿宋_GB2312" w:cs="Times New Roman"/>
          <w:sz w:val="20"/>
          <w:szCs w:val="20"/>
          <w:lang w:val="en-US" w:eastAsia="zh-CN"/>
        </w:rPr>
      </w:pPr>
    </w:p>
    <w:p>
      <w:pPr>
        <w:pStyle w:val="2"/>
        <w:pBdr>
          <w:bottom w:val="none" w:color="auto" w:sz="0" w:space="0"/>
        </w:pBdr>
        <w:rPr>
          <w:rFonts w:hint="default" w:ascii="Times New Roman" w:hAnsi="Times New Roman" w:eastAsia="仿宋_GB2312" w:cs="Times New Roman"/>
          <w:sz w:val="20"/>
          <w:szCs w:val="20"/>
          <w:lang w:val="en-US" w:eastAsia="zh-CN"/>
        </w:rPr>
      </w:pPr>
    </w:p>
    <w:p>
      <w:pPr>
        <w:pStyle w:val="2"/>
        <w:keepNext w:val="0"/>
        <w:keepLines w:val="0"/>
        <w:pageBreakBefore w:val="0"/>
        <w:widowControl/>
        <w:pBdr>
          <w:top w:val="single" w:color="auto" w:sz="4" w:space="0"/>
          <w:bottom w:val="single" w:color="auto" w:sz="4" w:space="0"/>
        </w:pBdr>
        <w:kinsoku w:val="0"/>
        <w:wordWrap/>
        <w:overflowPunct/>
        <w:topLinePunct w:val="0"/>
        <w:autoSpaceDE w:val="0"/>
        <w:autoSpaceDN w:val="0"/>
        <w:bidi w:val="0"/>
        <w:adjustRightInd w:val="0"/>
        <w:snapToGrid w:val="0"/>
        <w:spacing w:line="480" w:lineRule="exact"/>
        <w:ind w:firstLine="140" w:firstLineChars="50"/>
        <w:textAlignment w:val="baseline"/>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中卫市沙坡头区农村综合改革领导小组办公室  2023年6月19日印发</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00000000"/>
    <w:rsid w:val="078E5882"/>
    <w:rsid w:val="07D70C06"/>
    <w:rsid w:val="13EB0CA1"/>
    <w:rsid w:val="22B93FEC"/>
    <w:rsid w:val="24015CCE"/>
    <w:rsid w:val="2D5A0125"/>
    <w:rsid w:val="350F1E26"/>
    <w:rsid w:val="3766076A"/>
    <w:rsid w:val="3D221352"/>
    <w:rsid w:val="411B2E81"/>
    <w:rsid w:val="41F538AD"/>
    <w:rsid w:val="45354791"/>
    <w:rsid w:val="456039A9"/>
    <w:rsid w:val="4F681132"/>
    <w:rsid w:val="64630D13"/>
    <w:rsid w:val="6CE2460D"/>
    <w:rsid w:val="70103E16"/>
    <w:rsid w:val="7BC776DE"/>
    <w:rsid w:val="FF6FEED4"/>
    <w:rsid w:val="FFEFE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Indent"/>
    <w:basedOn w:val="1"/>
    <w:next w:val="4"/>
    <w:qFormat/>
    <w:uiPriority w:val="0"/>
    <w:pPr>
      <w:spacing w:after="120" w:afterLines="0"/>
      <w:ind w:left="420" w:leftChars="200"/>
    </w:p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after="120"/>
      <w:ind w:left="200" w:leftChars="20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3971</Words>
  <Characters>4109</Characters>
  <Lines>0</Lines>
  <Paragraphs>0</Paragraphs>
  <TotalTime>1</TotalTime>
  <ScaleCrop>false</ScaleCrop>
  <LinksUpToDate>false</LinksUpToDate>
  <CharactersWithSpaces>4124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2023-04-19T15:36:00Z</dcterms:created>
  <dc:creator>Administrator</dc:creator>
  <cp:lastModifiedBy>Administrator</cp:lastModifiedBy>
  <cp:lastPrinted>2023-06-26T09:35:00Z</cp:lastPrinted>
  <dcterms:modified xsi:type="dcterms:W3CDTF">2023-06-28T02:17:59Z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45B22DD9AD25149F17ED9864BF8883A9</vt:lpwstr>
  </property>
</Properties>
</file>