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lang w:val="en-US" w:eastAsia="zh-CN"/>
        </w:rPr>
        <w:t>中卫市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沙坡头区乡村振兴局决定废止的政策性文件目录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</w:pPr>
    </w:p>
    <w:tbl>
      <w:tblPr>
        <w:tblStyle w:val="7"/>
        <w:tblW w:w="13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994"/>
        <w:gridCol w:w="6629"/>
        <w:gridCol w:w="198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清理意见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卫沙乡振发〔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关于印发《关于生态移民村增设村级公益岗位的实施方案》的通知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废止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有效期届满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卫沙乡振发〔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关于印发《沙坡头区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年“乡村振兴健康保”工作实施方案》的通知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废止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有效期届满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卫沙乡振发〔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关于印发《沙坡头区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年脱贫人口小额信贷工作方案》的通知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废止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有效期届满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548B56C4"/>
    <w:rsid w:val="4FAE755A"/>
    <w:rsid w:val="548B56C4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97</Characters>
  <Lines>0</Lines>
  <Paragraphs>0</Paragraphs>
  <TotalTime>0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2023-03-21T07:26:00Z</dcterms:created>
  <dc:creator>Administrator</dc:creator>
  <cp:lastModifiedBy>Administrator</cp:lastModifiedBy>
  <dcterms:modified xsi:type="dcterms:W3CDTF">2023-03-21T07:36:00Z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EDCE5A1F769C4FBC9C701F6FDCBA912D</vt:lpwstr>
  </property>
</Properties>
</file>