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附件</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color w:val="000000"/>
          <w:sz w:val="43"/>
          <w:szCs w:val="43"/>
        </w:rPr>
      </w:pPr>
      <w:r>
        <w:rPr>
          <w:rFonts w:hint="eastAsia" w:ascii="方正小标宋_GBK" w:hAnsi="方正小标宋_GBK" w:eastAsia="方正小标宋_GBK" w:cs="方正小标宋_GBK"/>
          <w:color w:val="000000"/>
          <w:sz w:val="43"/>
          <w:szCs w:val="43"/>
          <w:lang w:eastAsia="zh-CN"/>
        </w:rPr>
        <w:t>沙坡头区</w:t>
      </w:r>
      <w:r>
        <w:rPr>
          <w:rFonts w:ascii="方正小标宋_GBK" w:hAnsi="方正小标宋_GBK" w:eastAsia="方正小标宋_GBK" w:cs="方正小标宋_GBK"/>
          <w:color w:val="000000"/>
          <w:sz w:val="43"/>
          <w:szCs w:val="43"/>
        </w:rPr>
        <w:t>健康养老产业发展重点任务清单</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sz w:val="43"/>
          <w:szCs w:val="43"/>
        </w:rPr>
      </w:pPr>
    </w:p>
    <w:tbl>
      <w:tblPr>
        <w:tblStyle w:val="6"/>
        <w:tblW w:w="14270"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2220"/>
        <w:gridCol w:w="1707"/>
        <w:gridCol w:w="6866"/>
        <w:gridCol w:w="1560"/>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序号</w:t>
            </w:r>
          </w:p>
        </w:tc>
        <w:tc>
          <w:tcPr>
            <w:tcW w:w="222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color w:val="000000"/>
                <w:sz w:val="28"/>
                <w:szCs w:val="28"/>
                <w:vertAlign w:val="baseline"/>
                <w:lang w:eastAsia="zh-CN"/>
              </w:rPr>
            </w:pPr>
            <w:r>
              <w:rPr>
                <w:rFonts w:hint="eastAsia" w:ascii="黑体" w:hAnsi="黑体" w:eastAsia="黑体" w:cs="黑体"/>
                <w:b w:val="0"/>
                <w:bCs w:val="0"/>
                <w:color w:val="000000"/>
                <w:sz w:val="28"/>
                <w:szCs w:val="28"/>
                <w:lang w:eastAsia="zh-CN"/>
              </w:rPr>
              <w:t>项目名称</w:t>
            </w:r>
          </w:p>
        </w:tc>
        <w:tc>
          <w:tcPr>
            <w:tcW w:w="170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color w:val="000000"/>
                <w:sz w:val="28"/>
                <w:szCs w:val="28"/>
                <w:vertAlign w:val="baseline"/>
                <w:lang w:eastAsia="zh-CN"/>
              </w:rPr>
            </w:pPr>
            <w:r>
              <w:rPr>
                <w:rFonts w:hint="eastAsia" w:ascii="黑体" w:hAnsi="黑体" w:eastAsia="黑体" w:cs="黑体"/>
                <w:b w:val="0"/>
                <w:bCs w:val="0"/>
                <w:color w:val="000000"/>
                <w:sz w:val="28"/>
                <w:szCs w:val="28"/>
                <w:vertAlign w:val="baseline"/>
                <w:lang w:eastAsia="zh-CN"/>
              </w:rPr>
              <w:t>分</w:t>
            </w:r>
            <w:r>
              <w:rPr>
                <w:rFonts w:hint="eastAsia" w:ascii="黑体" w:hAnsi="黑体" w:eastAsia="黑体" w:cs="黑体"/>
                <w:b w:val="0"/>
                <w:bCs w:val="0"/>
                <w:color w:val="000000"/>
                <w:sz w:val="28"/>
                <w:szCs w:val="28"/>
                <w:vertAlign w:val="baseline"/>
                <w:lang w:val="en-US" w:eastAsia="zh-CN"/>
              </w:rPr>
              <w:t xml:space="preserve">  </w:t>
            </w:r>
            <w:r>
              <w:rPr>
                <w:rFonts w:hint="eastAsia" w:ascii="黑体" w:hAnsi="黑体" w:eastAsia="黑体" w:cs="黑体"/>
                <w:b w:val="0"/>
                <w:bCs w:val="0"/>
                <w:color w:val="000000"/>
                <w:sz w:val="28"/>
                <w:szCs w:val="28"/>
                <w:vertAlign w:val="baseline"/>
                <w:lang w:eastAsia="zh-CN"/>
              </w:rPr>
              <w:t>项</w:t>
            </w:r>
          </w:p>
        </w:tc>
        <w:tc>
          <w:tcPr>
            <w:tcW w:w="6866"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color w:val="000000"/>
                <w:sz w:val="28"/>
                <w:szCs w:val="28"/>
                <w:vertAlign w:val="baseline"/>
                <w:lang w:eastAsia="zh-CN"/>
              </w:rPr>
            </w:pPr>
            <w:r>
              <w:rPr>
                <w:rFonts w:hint="eastAsia" w:ascii="黑体" w:hAnsi="黑体" w:eastAsia="黑体" w:cs="黑体"/>
                <w:b w:val="0"/>
                <w:bCs w:val="0"/>
                <w:color w:val="000000"/>
                <w:sz w:val="28"/>
                <w:szCs w:val="28"/>
                <w:lang w:eastAsia="zh-CN"/>
              </w:rPr>
              <w:t>主</w:t>
            </w:r>
            <w:r>
              <w:rPr>
                <w:rFonts w:hint="eastAsia" w:ascii="黑体" w:hAnsi="黑体" w:eastAsia="黑体" w:cs="黑体"/>
                <w:b w:val="0"/>
                <w:bCs w:val="0"/>
                <w:color w:val="000000"/>
                <w:sz w:val="28"/>
                <w:szCs w:val="28"/>
                <w:lang w:val="en-US" w:eastAsia="zh-CN"/>
              </w:rPr>
              <w:t xml:space="preserve">  </w:t>
            </w:r>
            <w:r>
              <w:rPr>
                <w:rFonts w:hint="eastAsia" w:ascii="黑体" w:hAnsi="黑体" w:eastAsia="黑体" w:cs="黑体"/>
                <w:b w:val="0"/>
                <w:bCs w:val="0"/>
                <w:color w:val="000000"/>
                <w:sz w:val="28"/>
                <w:szCs w:val="28"/>
                <w:lang w:eastAsia="zh-CN"/>
              </w:rPr>
              <w:t>要</w:t>
            </w:r>
            <w:r>
              <w:rPr>
                <w:rFonts w:hint="eastAsia" w:ascii="黑体" w:hAnsi="黑体" w:eastAsia="黑体" w:cs="黑体"/>
                <w:b w:val="0"/>
                <w:bCs w:val="0"/>
                <w:color w:val="000000"/>
                <w:sz w:val="28"/>
                <w:szCs w:val="28"/>
                <w:lang w:val="en-US" w:eastAsia="zh-CN"/>
              </w:rPr>
              <w:t xml:space="preserve">  </w:t>
            </w:r>
            <w:r>
              <w:rPr>
                <w:rFonts w:hint="eastAsia" w:ascii="黑体" w:hAnsi="黑体" w:eastAsia="黑体" w:cs="黑体"/>
                <w:b w:val="0"/>
                <w:bCs w:val="0"/>
                <w:color w:val="000000"/>
                <w:sz w:val="28"/>
                <w:szCs w:val="28"/>
                <w:lang w:eastAsia="zh-CN"/>
              </w:rPr>
              <w:t>任</w:t>
            </w:r>
            <w:r>
              <w:rPr>
                <w:rFonts w:hint="eastAsia" w:ascii="黑体" w:hAnsi="黑体" w:eastAsia="黑体" w:cs="黑体"/>
                <w:b w:val="0"/>
                <w:bCs w:val="0"/>
                <w:color w:val="000000"/>
                <w:sz w:val="28"/>
                <w:szCs w:val="28"/>
                <w:lang w:val="en-US" w:eastAsia="zh-CN"/>
              </w:rPr>
              <w:t xml:space="preserve">  </w:t>
            </w:r>
            <w:r>
              <w:rPr>
                <w:rFonts w:hint="eastAsia" w:ascii="黑体" w:hAnsi="黑体" w:eastAsia="黑体" w:cs="黑体"/>
                <w:b w:val="0"/>
                <w:bCs w:val="0"/>
                <w:color w:val="000000"/>
                <w:sz w:val="28"/>
                <w:szCs w:val="28"/>
                <w:lang w:eastAsia="zh-CN"/>
              </w:rPr>
              <w:t>务</w:t>
            </w:r>
          </w:p>
        </w:tc>
        <w:tc>
          <w:tcPr>
            <w:tcW w:w="156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color w:val="000000"/>
                <w:sz w:val="28"/>
                <w:szCs w:val="28"/>
                <w:vertAlign w:val="baseline"/>
                <w:lang w:eastAsia="zh-CN"/>
              </w:rPr>
            </w:pPr>
            <w:r>
              <w:rPr>
                <w:rFonts w:hint="eastAsia" w:ascii="黑体" w:hAnsi="黑体" w:eastAsia="黑体" w:cs="黑体"/>
                <w:b w:val="0"/>
                <w:bCs w:val="0"/>
                <w:color w:val="000000"/>
                <w:sz w:val="28"/>
                <w:szCs w:val="28"/>
                <w:lang w:eastAsia="zh-CN"/>
              </w:rPr>
              <w:t>责任单位</w:t>
            </w:r>
          </w:p>
        </w:tc>
        <w:tc>
          <w:tcPr>
            <w:tcW w:w="1342"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color w:val="000000"/>
                <w:sz w:val="28"/>
                <w:szCs w:val="28"/>
                <w:vertAlign w:val="baseline"/>
                <w:lang w:eastAsia="zh-CN"/>
              </w:rPr>
            </w:pPr>
            <w:r>
              <w:rPr>
                <w:rFonts w:hint="eastAsia" w:ascii="黑体" w:hAnsi="黑体" w:eastAsia="黑体" w:cs="黑体"/>
                <w:b w:val="0"/>
                <w:bCs w:val="0"/>
                <w:color w:val="000000"/>
                <w:sz w:val="28"/>
                <w:szCs w:val="28"/>
                <w:vertAlign w:val="baseline"/>
                <w:lang w:eastAsia="zh-CN"/>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2" w:hRule="atLeast"/>
        </w:trPr>
        <w:tc>
          <w:tcPr>
            <w:tcW w:w="575" w:type="dxa"/>
            <w:vMerge w:val="restart"/>
            <w:vAlign w:val="center"/>
          </w:tcPr>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r>
              <w:rPr>
                <w:rFonts w:hint="eastAsia" w:ascii="楷体_GB2312" w:hAnsi="楷体_GB2312" w:eastAsia="楷体_GB2312" w:cs="楷体_GB2312"/>
                <w:b/>
                <w:bCs/>
                <w:i w:val="0"/>
                <w:color w:val="000000"/>
                <w:kern w:val="0"/>
                <w:sz w:val="24"/>
                <w:szCs w:val="24"/>
                <w:u w:val="none"/>
                <w:lang w:val="en-US" w:eastAsia="zh-CN" w:bidi="ar"/>
              </w:rPr>
              <w:t>一</w:t>
            </w: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r>
              <w:rPr>
                <w:rFonts w:hint="eastAsia" w:ascii="楷体_GB2312" w:hAnsi="楷体_GB2312" w:eastAsia="楷体_GB2312" w:cs="楷体_GB2312"/>
                <w:b/>
                <w:bCs/>
                <w:i w:val="0"/>
                <w:color w:val="000000"/>
                <w:kern w:val="0"/>
                <w:sz w:val="24"/>
                <w:szCs w:val="24"/>
                <w:u w:val="none"/>
                <w:lang w:val="en-US" w:eastAsia="zh-CN" w:bidi="ar"/>
              </w:rPr>
              <w:t>一</w:t>
            </w:r>
          </w:p>
        </w:tc>
        <w:tc>
          <w:tcPr>
            <w:tcW w:w="2220" w:type="dxa"/>
            <w:vMerge w:val="restart"/>
          </w:tcPr>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r>
              <w:rPr>
                <w:rFonts w:hint="eastAsia" w:ascii="楷体_GB2312" w:hAnsi="楷体_GB2312" w:eastAsia="楷体_GB2312" w:cs="楷体_GB2312"/>
                <w:b/>
                <w:bCs/>
                <w:i w:val="0"/>
                <w:color w:val="000000"/>
                <w:kern w:val="0"/>
                <w:sz w:val="24"/>
                <w:szCs w:val="24"/>
                <w:u w:val="none"/>
                <w:lang w:val="en-US" w:eastAsia="zh-CN" w:bidi="ar"/>
              </w:rPr>
              <w:t>优化全方位养老服务供给</w:t>
            </w: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r>
              <w:rPr>
                <w:rFonts w:hint="eastAsia" w:ascii="楷体_GB2312" w:hAnsi="楷体_GB2312" w:eastAsia="楷体_GB2312" w:cs="楷体_GB2312"/>
                <w:b/>
                <w:bCs/>
                <w:i w:val="0"/>
                <w:color w:val="000000"/>
                <w:kern w:val="0"/>
                <w:sz w:val="24"/>
                <w:szCs w:val="24"/>
                <w:u w:val="none"/>
                <w:lang w:val="en-US" w:eastAsia="zh-CN" w:bidi="ar"/>
              </w:rPr>
              <w:t>优化全方位养老服务供给</w:t>
            </w: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tc>
        <w:tc>
          <w:tcPr>
            <w:tcW w:w="1707" w:type="dxa"/>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促进机构养老服务提质增效</w:t>
            </w:r>
          </w:p>
        </w:tc>
        <w:tc>
          <w:tcPr>
            <w:tcW w:w="6866" w:type="dxa"/>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聚焦高龄及失能失智老年人长期照护服务的刚性需求，支持对中卫市康养中心、慈爱康复中心、沙坡头区第一中心敬老院3家养老机构进行护理功能改造提升。沙坡头区至少有1所具备失能失智老年人照护能力的养老机构。支持有条件的养老机构针对失能失智老年人的特殊照护需求，设立失能失智照护专区。支持社会力量参与养老服务，实施“城企联动普惠养老服务专项行动”。积极争取资金支持</w:t>
            </w:r>
            <w:r>
              <w:rPr>
                <w:rFonts w:hint="eastAsia" w:ascii="Times New Roman" w:hAnsi="Times New Roman" w:eastAsia="仿宋_GB2312" w:cs="Times New Roman"/>
                <w:i w:val="0"/>
                <w:color w:val="000000"/>
                <w:kern w:val="0"/>
                <w:sz w:val="24"/>
                <w:szCs w:val="24"/>
                <w:u w:val="none"/>
                <w:lang w:val="en-US" w:eastAsia="zh-CN" w:bidi="ar"/>
              </w:rPr>
              <w:t>，截止2025年底，</w:t>
            </w:r>
            <w:r>
              <w:rPr>
                <w:rFonts w:hint="default" w:ascii="Times New Roman" w:hAnsi="Times New Roman" w:eastAsia="仿宋_GB2312" w:cs="Times New Roman"/>
                <w:i w:val="0"/>
                <w:color w:val="000000"/>
                <w:kern w:val="0"/>
                <w:sz w:val="24"/>
                <w:szCs w:val="24"/>
                <w:u w:val="none"/>
                <w:lang w:val="en-US" w:eastAsia="zh-CN" w:bidi="ar"/>
              </w:rPr>
              <w:t>至少建成1家养老服务中心，将基础优势明显、床位数较多的新墩花园日间照料中心、中卫市温馨一家托养院、沙坡头区万家福托养院、中卫市康养中心、羚羊互助养老院、徐庄互助养老院6家养老机构转型升级为乡镇区域养老服务中心，力争每个符合条件的乡镇（街道）建设1所具备全托、日托、上门服务等功能的综合养老服务中心。完善公建民营机制，引进养老运营机构早介入、全流程参与项目工程建设，探索开展连锁化运营。</w:t>
            </w:r>
          </w:p>
        </w:tc>
        <w:tc>
          <w:tcPr>
            <w:tcW w:w="1560" w:type="dxa"/>
            <w:vMerge w:val="restart"/>
          </w:tcPr>
          <w:p>
            <w:pPr>
              <w:pStyle w:val="4"/>
              <w:keepNext w:val="0"/>
              <w:keepLines w:val="0"/>
              <w:widowControl/>
              <w:suppressLineNumbers w:val="0"/>
              <w:rPr>
                <w:rFonts w:hint="eastAsia"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eastAsia"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eastAsia"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eastAsia"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eastAsia"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eastAsia"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eastAsia"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both"/>
              <w:rPr>
                <w:rFonts w:hint="eastAsia"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区民社局、发改局、财政局；各乡镇人民政府</w:t>
            </w:r>
          </w:p>
          <w:p>
            <w:pPr>
              <w:pStyle w:val="4"/>
              <w:keepNext w:val="0"/>
              <w:keepLines w:val="0"/>
              <w:widowControl/>
              <w:suppressLineNumbers w:val="0"/>
              <w:rPr>
                <w:rFonts w:hint="eastAsia"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eastAsia"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eastAsia"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eastAsia"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eastAsia"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eastAsia"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eastAsia"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eastAsia"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eastAsia"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eastAsia"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eastAsia"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eastAsia"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eastAsia"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eastAsia"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eastAsia"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eastAsia"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责任单位：区民社局、发改局、财政局、住建和交通局，卫健局、自然资源局</w:t>
            </w:r>
          </w:p>
        </w:tc>
        <w:tc>
          <w:tcPr>
            <w:tcW w:w="1342" w:type="dxa"/>
            <w:vMerge w:val="restart"/>
          </w:tcPr>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both"/>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w:t>
            </w:r>
            <w:r>
              <w:rPr>
                <w:rFonts w:hint="eastAsia" w:ascii="Times New Roman" w:hAnsi="Times New Roman" w:eastAsia="仿宋_GB2312" w:cs="Times New Roman"/>
                <w:i w:val="0"/>
                <w:color w:val="000000"/>
                <w:kern w:val="0"/>
                <w:sz w:val="24"/>
                <w:szCs w:val="24"/>
                <w:u w:val="none"/>
                <w:lang w:val="en-US" w:eastAsia="zh-CN" w:bidi="ar"/>
              </w:rPr>
              <w:t>7</w:t>
            </w:r>
            <w:r>
              <w:rPr>
                <w:rFonts w:hint="default" w:ascii="Times New Roman" w:hAnsi="Times New Roman" w:eastAsia="仿宋_GB2312" w:cs="Times New Roman"/>
                <w:i w:val="0"/>
                <w:color w:val="000000"/>
                <w:kern w:val="0"/>
                <w:sz w:val="24"/>
                <w:szCs w:val="24"/>
                <w:u w:val="none"/>
                <w:lang w:val="en-US" w:eastAsia="zh-CN" w:bidi="ar"/>
              </w:rPr>
              <w:t>年</w:t>
            </w: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w:t>
            </w:r>
            <w:r>
              <w:rPr>
                <w:rFonts w:hint="eastAsia" w:ascii="Times New Roman" w:hAnsi="Times New Roman" w:eastAsia="仿宋_GB2312" w:cs="Times New Roman"/>
                <w:i w:val="0"/>
                <w:color w:val="000000"/>
                <w:kern w:val="0"/>
                <w:sz w:val="24"/>
                <w:szCs w:val="24"/>
                <w:u w:val="none"/>
                <w:lang w:val="en-US" w:eastAsia="zh-CN" w:bidi="ar"/>
              </w:rPr>
              <w:t>7</w:t>
            </w:r>
            <w:r>
              <w:rPr>
                <w:rFonts w:hint="default" w:ascii="Times New Roman" w:hAnsi="Times New Roman" w:eastAsia="仿宋_GB2312" w:cs="Times New Roman"/>
                <w:i w:val="0"/>
                <w:color w:val="000000"/>
                <w:kern w:val="0"/>
                <w:sz w:val="24"/>
                <w:szCs w:val="24"/>
                <w:u w:val="none"/>
                <w:lang w:val="en-US" w:eastAsia="zh-CN" w:bidi="ar"/>
              </w:rPr>
              <w:t>年</w:t>
            </w: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keepNext w:val="0"/>
              <w:keepLines w:val="0"/>
              <w:widowControl/>
              <w:suppressLineNumbers w:val="0"/>
              <w:ind w:firstLine="240" w:firstLineChars="100"/>
              <w:jc w:val="center"/>
              <w:rPr>
                <w:rFonts w:hint="default" w:ascii="Times New Roman" w:hAnsi="Times New Roman" w:eastAsia="仿宋_GB2312" w:cs="Times New Roman"/>
                <w:i w:val="0"/>
                <w:color w:val="000000"/>
                <w:kern w:val="0"/>
                <w:sz w:val="24"/>
                <w:szCs w:val="24"/>
                <w:u w:val="none"/>
                <w:lang w:val="en-US" w:eastAsia="zh-CN" w:bidi="ar"/>
              </w:rPr>
            </w:pPr>
          </w:p>
          <w:p>
            <w:pPr>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6" w:hRule="atLeast"/>
        </w:trPr>
        <w:tc>
          <w:tcPr>
            <w:tcW w:w="575" w:type="dxa"/>
            <w:vMerge w:val="continue"/>
            <w:vAlign w:val="center"/>
          </w:tcPr>
          <w:p>
            <w:pPr>
              <w:bidi w:val="0"/>
              <w:jc w:val="center"/>
              <w:rPr>
                <w:rFonts w:hint="default"/>
                <w:lang w:val="en-US" w:eastAsia="zh-CN"/>
              </w:rPr>
            </w:pPr>
          </w:p>
        </w:tc>
        <w:tc>
          <w:tcPr>
            <w:tcW w:w="2220" w:type="dxa"/>
            <w:vMerge w:val="continue"/>
          </w:tcPr>
          <w:p>
            <w:pPr>
              <w:ind w:firstLine="305" w:firstLineChars="0"/>
              <w:jc w:val="left"/>
              <w:rPr>
                <w:rFonts w:hint="default" w:ascii="Times New Roman" w:hAnsi="Times New Roman" w:eastAsia="仿宋_GB2312" w:cs="Times New Roman"/>
                <w:i w:val="0"/>
                <w:color w:val="000000"/>
                <w:kern w:val="0"/>
                <w:sz w:val="24"/>
                <w:szCs w:val="24"/>
                <w:u w:val="none"/>
                <w:lang w:val="en-US" w:eastAsia="zh-CN" w:bidi="ar"/>
              </w:rPr>
            </w:pPr>
          </w:p>
        </w:tc>
        <w:tc>
          <w:tcPr>
            <w:tcW w:w="1707"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大力发展社区养老服务</w:t>
            </w:r>
          </w:p>
        </w:tc>
        <w:tc>
          <w:tcPr>
            <w:tcW w:w="6866" w:type="dxa"/>
            <w:vAlign w:val="center"/>
          </w:tcPr>
          <w:p>
            <w:pPr>
              <w:pStyle w:val="4"/>
              <w:keepNext w:val="0"/>
              <w:keepLines w:val="0"/>
              <w:widowControl/>
              <w:suppressLineNumbers w:val="0"/>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依托社区养老服务设施、养老机构配套设施，在社区层面建立嵌入式养老服务机构、日间照料中心，</w:t>
            </w:r>
            <w:r>
              <w:rPr>
                <w:rFonts w:hint="eastAsia" w:ascii="Times New Roman" w:hAnsi="Times New Roman" w:eastAsia="仿宋_GB2312" w:cs="Times New Roman"/>
                <w:i w:val="0"/>
                <w:color w:val="000000"/>
                <w:kern w:val="0"/>
                <w:sz w:val="24"/>
                <w:szCs w:val="24"/>
                <w:u w:val="none"/>
                <w:lang w:val="en-US" w:eastAsia="zh-CN" w:bidi="ar"/>
              </w:rPr>
              <w:t>或挖掘以</w:t>
            </w:r>
            <w:r>
              <w:rPr>
                <w:rFonts w:hint="default" w:ascii="Times New Roman" w:hAnsi="Times New Roman" w:eastAsia="仿宋_GB2312" w:cs="Times New Roman"/>
                <w:i w:val="0"/>
                <w:color w:val="000000"/>
                <w:kern w:val="0"/>
                <w:sz w:val="24"/>
                <w:szCs w:val="24"/>
                <w:u w:val="none"/>
                <w:lang w:val="en-US" w:eastAsia="zh-CN" w:bidi="ar"/>
              </w:rPr>
              <w:t>空置公租房经沙坡头区人民政府批准可免费提供给社会力量供其在社区为老年人提供生活照料、助餐助行、精神慰籍等服务。积极推进落实社区养老配套设施建设“四同步”（同步规划、同步建设、同步验收、同步交付）工作规则，抓牢抓实部门监管职责，确保养老服务设施交付产权人后用于社区养老服务。加强农村老饭桌、互助院等养老服务设施建设，推广农村邻里互助的助餐模式。支持</w:t>
            </w:r>
            <w:r>
              <w:rPr>
                <w:rFonts w:hint="eastAsia" w:ascii="Times New Roman" w:hAnsi="Times New Roman" w:eastAsia="仿宋_GB2312" w:cs="Times New Roman"/>
                <w:i w:val="0"/>
                <w:color w:val="000000"/>
                <w:kern w:val="0"/>
                <w:sz w:val="24"/>
                <w:szCs w:val="24"/>
                <w:u w:val="none"/>
                <w:lang w:val="en-US" w:eastAsia="zh-CN" w:bidi="ar"/>
              </w:rPr>
              <w:t>政府</w:t>
            </w:r>
            <w:r>
              <w:rPr>
                <w:rFonts w:hint="default" w:ascii="Times New Roman" w:hAnsi="Times New Roman" w:eastAsia="仿宋_GB2312" w:cs="Times New Roman"/>
                <w:i w:val="0"/>
                <w:color w:val="000000"/>
                <w:kern w:val="0"/>
                <w:sz w:val="24"/>
                <w:szCs w:val="24"/>
                <w:u w:val="none"/>
                <w:lang w:val="en-US" w:eastAsia="zh-CN" w:bidi="ar"/>
              </w:rPr>
              <w:t>购买服务方式，大力发展老年人急需的助餐、助医、助洁等服务，鼓励优质社会餐饮企业参与养老助餐服务。在新型城镇化建设、城镇老旧小区改造中配套建设养老托育服务设施，新建居住（小）区与配套养老托育服务设施同步规划、同步建设、同步验收、同步交付。</w:t>
            </w:r>
          </w:p>
        </w:tc>
        <w:tc>
          <w:tcPr>
            <w:tcW w:w="1560" w:type="dxa"/>
            <w:vMerge w:val="continue"/>
          </w:tcPr>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tc>
        <w:tc>
          <w:tcPr>
            <w:tcW w:w="1342" w:type="dxa"/>
            <w:vMerge w:val="continue"/>
          </w:tcPr>
          <w:p>
            <w:pPr>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6" w:hRule="atLeast"/>
        </w:trPr>
        <w:tc>
          <w:tcPr>
            <w:tcW w:w="575" w:type="dxa"/>
            <w:vMerge w:val="continue"/>
            <w:vAlign w:val="center"/>
          </w:tcPr>
          <w:p>
            <w:pPr>
              <w:keepNext w:val="0"/>
              <w:keepLines w:val="0"/>
              <w:widowControl/>
              <w:suppressLineNumbers w:val="0"/>
              <w:jc w:val="center"/>
              <w:textAlignment w:val="center"/>
              <w:rPr>
                <w:rFonts w:hint="default" w:eastAsiaTheme="minorEastAsia"/>
                <w:lang w:val="en-US" w:eastAsia="zh-CN"/>
              </w:rPr>
            </w:pPr>
          </w:p>
        </w:tc>
        <w:tc>
          <w:tcPr>
            <w:tcW w:w="2220" w:type="dxa"/>
            <w:vMerge w:val="continue"/>
          </w:tcPr>
          <w:p>
            <w:pPr>
              <w:keepNext w:val="0"/>
              <w:keepLines w:val="0"/>
              <w:widowControl/>
              <w:suppressLineNumbers w:val="0"/>
              <w:jc w:val="both"/>
              <w:textAlignment w:val="center"/>
            </w:pPr>
          </w:p>
        </w:tc>
        <w:tc>
          <w:tcPr>
            <w:tcW w:w="1707"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积极培育居家养老服务</w:t>
            </w:r>
          </w:p>
        </w:tc>
        <w:tc>
          <w:tcPr>
            <w:tcW w:w="6866" w:type="dxa"/>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大力推动机构、社区养老服务向居家老年人延伸，提供生活照料、家务料理、精神慰籍等上门服务，进一步做实做强居家养老。积极争取自治区民政厅、财政厅居家和社区基本养老服务提升行动项目。探索建设家庭养老床位，引导养老机构、企业等建设、运营家庭养老床位，让居家高龄、失能（失智）、残疾老年人享受连续、稳定、专业的照护疗养、康复护理、陪诊转介等服务。</w:t>
            </w:r>
          </w:p>
        </w:tc>
        <w:tc>
          <w:tcPr>
            <w:tcW w:w="1560" w:type="dxa"/>
            <w:vMerge w:val="continue"/>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342" w:type="dxa"/>
            <w:vMerge w:val="continue"/>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trPr>
        <w:tc>
          <w:tcPr>
            <w:tcW w:w="575" w:type="dxa"/>
            <w:vMerge w:val="restart"/>
            <w:vAlign w:val="center"/>
          </w:tcPr>
          <w:p>
            <w:pPr>
              <w:jc w:val="center"/>
              <w:rPr>
                <w:rFonts w:hint="default" w:ascii="楷体_GB2312" w:hAnsi="楷体_GB2312" w:eastAsia="楷体_GB2312" w:cs="楷体_GB2312"/>
                <w:b/>
                <w:bCs/>
                <w:i w:val="0"/>
                <w:color w:val="000000"/>
                <w:kern w:val="0"/>
                <w:sz w:val="24"/>
                <w:szCs w:val="24"/>
                <w:u w:val="none"/>
                <w:lang w:val="en-US" w:eastAsia="zh-CN" w:bidi="ar"/>
              </w:rPr>
            </w:pPr>
            <w:r>
              <w:rPr>
                <w:rFonts w:hint="eastAsia" w:ascii="楷体_GB2312" w:hAnsi="楷体_GB2312" w:eastAsia="楷体_GB2312" w:cs="楷体_GB2312"/>
                <w:b/>
                <w:bCs/>
                <w:i w:val="0"/>
                <w:color w:val="000000"/>
                <w:kern w:val="0"/>
                <w:sz w:val="24"/>
                <w:szCs w:val="24"/>
                <w:u w:val="none"/>
                <w:lang w:val="en-US" w:eastAsia="zh-CN" w:bidi="ar"/>
              </w:rPr>
              <w:t>一</w:t>
            </w:r>
          </w:p>
        </w:tc>
        <w:tc>
          <w:tcPr>
            <w:tcW w:w="2220" w:type="dxa"/>
            <w:vMerge w:val="restart"/>
          </w:tcPr>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r>
              <w:rPr>
                <w:rFonts w:hint="default" w:ascii="楷体_GB2312" w:hAnsi="楷体_GB2312" w:eastAsia="楷体_GB2312" w:cs="楷体_GB2312"/>
                <w:b/>
                <w:bCs/>
                <w:i w:val="0"/>
                <w:color w:val="000000"/>
                <w:kern w:val="0"/>
                <w:sz w:val="24"/>
                <w:szCs w:val="24"/>
                <w:u w:val="none"/>
                <w:lang w:val="en-US" w:eastAsia="zh-CN" w:bidi="ar"/>
              </w:rPr>
              <w:t>优化全方位养老服务供给</w:t>
            </w:r>
          </w:p>
          <w:p>
            <w:pPr>
              <w:jc w:val="center"/>
              <w:rPr>
                <w:rFonts w:hint="eastAsia" w:ascii="楷体_GB2312" w:hAnsi="楷体_GB2312" w:eastAsia="楷体_GB2312" w:cs="楷体_GB2312"/>
                <w:b/>
                <w:bCs/>
                <w:i w:val="0"/>
                <w:color w:val="000000"/>
                <w:kern w:val="0"/>
                <w:sz w:val="24"/>
                <w:szCs w:val="24"/>
                <w:u w:val="none"/>
                <w:lang w:val="en-US" w:eastAsia="zh-CN" w:bidi="ar"/>
              </w:rPr>
            </w:pPr>
          </w:p>
        </w:tc>
        <w:tc>
          <w:tcPr>
            <w:tcW w:w="1707"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培育市场</w:t>
            </w:r>
            <w:r>
              <w:rPr>
                <w:rFonts w:hint="eastAsia" w:ascii="Times New Roman" w:hAnsi="Times New Roman" w:eastAsia="仿宋_GB2312" w:cs="Times New Roman"/>
                <w:i w:val="0"/>
                <w:color w:val="000000"/>
                <w:kern w:val="0"/>
                <w:sz w:val="24"/>
                <w:szCs w:val="24"/>
                <w:u w:val="none"/>
                <w:lang w:val="en-US" w:eastAsia="zh-CN" w:bidi="ar"/>
              </w:rPr>
              <w:t>主体</w:t>
            </w:r>
            <w:r>
              <w:rPr>
                <w:rFonts w:hint="default" w:ascii="Times New Roman" w:hAnsi="Times New Roman" w:eastAsia="仿宋_GB2312" w:cs="Times New Roman"/>
                <w:i w:val="0"/>
                <w:color w:val="000000"/>
                <w:kern w:val="0"/>
                <w:sz w:val="24"/>
                <w:szCs w:val="24"/>
                <w:u w:val="none"/>
                <w:lang w:val="en-US" w:eastAsia="zh-CN" w:bidi="ar"/>
              </w:rPr>
              <w:t>和品牌</w:t>
            </w:r>
          </w:p>
        </w:tc>
        <w:tc>
          <w:tcPr>
            <w:tcW w:w="6866" w:type="dxa"/>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通过招商引资等方式，积极吸引国内外知名养老企业、养老机构落户</w:t>
            </w:r>
            <w:r>
              <w:rPr>
                <w:rFonts w:hint="eastAsia" w:ascii="Times New Roman" w:hAnsi="Times New Roman" w:eastAsia="仿宋_GB2312" w:cs="Times New Roman"/>
                <w:i w:val="0"/>
                <w:color w:val="000000"/>
                <w:kern w:val="0"/>
                <w:sz w:val="24"/>
                <w:szCs w:val="24"/>
                <w:u w:val="none"/>
                <w:lang w:val="en-US" w:eastAsia="zh-CN" w:bidi="ar"/>
              </w:rPr>
              <w:t>沙坡头区</w:t>
            </w:r>
            <w:r>
              <w:rPr>
                <w:rFonts w:hint="default" w:ascii="Times New Roman" w:hAnsi="Times New Roman" w:eastAsia="仿宋_GB2312" w:cs="Times New Roman"/>
                <w:i w:val="0"/>
                <w:color w:val="000000"/>
                <w:kern w:val="0"/>
                <w:sz w:val="24"/>
                <w:szCs w:val="24"/>
                <w:u w:val="none"/>
                <w:lang w:val="en-US" w:eastAsia="zh-CN" w:bidi="ar"/>
              </w:rPr>
              <w:t>，鼓励和培育养老服务品牌，打造一批集养老、养生、康复、护理等一体的专业化、连锁化、规模化、品牌化健康养老机构，构建全方位、多层次、立体化的养老服务体系，满足多元化、便利化、个性化服务需求。引导养老服务机构线上线下融合发展，支持养老领域企业发展智慧养老模式，帮助对接互联网医疗、康复辅助器具制造等资源，提供智慧化服务。积极引导养老机构、物业企业等社会力量广泛参与社区养老服务，扶持培养一批专业化、连锁化、品牌化社区养老服务机构，支持其取得合理回报和持续发展。储备优质康养项目，吸引国家相关专项产业基金和社会资本投资。健全健康养老标准体系，</w:t>
            </w:r>
            <w:r>
              <w:rPr>
                <w:rFonts w:hint="eastAsia" w:ascii="Times New Roman" w:hAnsi="Times New Roman" w:eastAsia="仿宋_GB2312" w:cs="Times New Roman"/>
                <w:i w:val="0"/>
                <w:color w:val="000000"/>
                <w:kern w:val="0"/>
                <w:sz w:val="24"/>
                <w:szCs w:val="24"/>
                <w:u w:val="none"/>
                <w:lang w:val="en-US" w:eastAsia="zh-CN" w:bidi="ar"/>
              </w:rPr>
              <w:t>落实自治区医养结合机构</w:t>
            </w:r>
            <w:r>
              <w:rPr>
                <w:rFonts w:hint="default" w:ascii="Times New Roman" w:hAnsi="Times New Roman" w:eastAsia="仿宋_GB2312" w:cs="Times New Roman"/>
                <w:i w:val="0"/>
                <w:color w:val="000000"/>
                <w:kern w:val="0"/>
                <w:sz w:val="24"/>
                <w:szCs w:val="24"/>
                <w:u w:val="none"/>
                <w:lang w:val="en-US" w:eastAsia="zh-CN" w:bidi="ar"/>
              </w:rPr>
              <w:t>、居家社区机构养老等领域的标准，助推品牌塑造。</w:t>
            </w:r>
          </w:p>
        </w:tc>
        <w:tc>
          <w:tcPr>
            <w:tcW w:w="1560" w:type="dxa"/>
            <w:vMerge w:val="restart"/>
          </w:tcPr>
          <w:p>
            <w:pPr>
              <w:pStyle w:val="4"/>
              <w:keepNext w:val="0"/>
              <w:keepLines w:val="0"/>
              <w:widowControl/>
              <w:suppressLineNumbers w:val="0"/>
              <w:rPr>
                <w:rFonts w:hint="eastAsia"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eastAsia"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eastAsia"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eastAsia"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eastAsia"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eastAsia" w:ascii="Times New Roman" w:hAnsi="Times New Roman" w:eastAsia="仿宋_GB2312" w:cs="Times New Roman"/>
                <w:i w:val="0"/>
                <w:color w:val="000000"/>
                <w:kern w:val="0"/>
                <w:sz w:val="24"/>
                <w:szCs w:val="24"/>
                <w:u w:val="none"/>
                <w:lang w:val="en-US" w:eastAsia="zh-CN" w:bidi="ar"/>
              </w:rPr>
            </w:pP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区民政局、发改局、财政局、住建和交通局，卫健局、</w:t>
            </w:r>
            <w:r>
              <w:rPr>
                <w:rFonts w:hint="default" w:ascii="Times New Roman" w:hAnsi="Times New Roman" w:eastAsia="仿宋_GB2312" w:cs="Times New Roman"/>
                <w:i w:val="0"/>
                <w:color w:val="000000"/>
                <w:kern w:val="0"/>
                <w:sz w:val="24"/>
                <w:szCs w:val="24"/>
                <w:u w:val="none"/>
                <w:lang w:val="en-US" w:eastAsia="zh-CN" w:bidi="ar"/>
              </w:rPr>
              <w:t>市场监管</w:t>
            </w:r>
            <w:r>
              <w:rPr>
                <w:rFonts w:hint="eastAsia" w:ascii="Times New Roman" w:hAnsi="Times New Roman" w:eastAsia="仿宋_GB2312" w:cs="Times New Roman"/>
                <w:i w:val="0"/>
                <w:color w:val="000000"/>
                <w:kern w:val="0"/>
                <w:sz w:val="24"/>
                <w:szCs w:val="24"/>
                <w:u w:val="none"/>
                <w:lang w:val="en-US" w:eastAsia="zh-CN" w:bidi="ar"/>
              </w:rPr>
              <w:t>分</w:t>
            </w:r>
            <w:r>
              <w:rPr>
                <w:rFonts w:hint="default" w:ascii="Times New Roman" w:hAnsi="Times New Roman" w:eastAsia="仿宋_GB2312" w:cs="Times New Roman"/>
                <w:i w:val="0"/>
                <w:color w:val="000000"/>
                <w:kern w:val="0"/>
                <w:sz w:val="24"/>
                <w:szCs w:val="24"/>
                <w:u w:val="none"/>
                <w:lang w:val="en-US" w:eastAsia="zh-CN" w:bidi="ar"/>
              </w:rPr>
              <w:t>局</w:t>
            </w:r>
            <w:r>
              <w:rPr>
                <w:rFonts w:hint="eastAsia" w:ascii="Times New Roman" w:hAnsi="Times New Roman"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旅游</w:t>
            </w:r>
            <w:r>
              <w:rPr>
                <w:rFonts w:hint="eastAsia" w:ascii="Times New Roman" w:hAnsi="Times New Roman" w:eastAsia="仿宋_GB2312" w:cs="Times New Roman"/>
                <w:i w:val="0"/>
                <w:color w:val="000000"/>
                <w:kern w:val="0"/>
                <w:sz w:val="24"/>
                <w:szCs w:val="24"/>
                <w:u w:val="none"/>
                <w:lang w:val="en-US" w:eastAsia="zh-CN" w:bidi="ar"/>
              </w:rPr>
              <w:t>和</w:t>
            </w:r>
            <w:r>
              <w:rPr>
                <w:rFonts w:hint="default" w:ascii="Times New Roman" w:hAnsi="Times New Roman" w:eastAsia="仿宋_GB2312" w:cs="Times New Roman"/>
                <w:i w:val="0"/>
                <w:color w:val="000000"/>
                <w:kern w:val="0"/>
                <w:sz w:val="24"/>
                <w:szCs w:val="24"/>
                <w:u w:val="none"/>
                <w:lang w:val="en-US" w:eastAsia="zh-CN" w:bidi="ar"/>
              </w:rPr>
              <w:t>文体</w:t>
            </w:r>
            <w:r>
              <w:rPr>
                <w:rFonts w:hint="eastAsia" w:ascii="Times New Roman" w:hAnsi="Times New Roman" w:eastAsia="仿宋_GB2312" w:cs="Times New Roman"/>
                <w:i w:val="0"/>
                <w:color w:val="000000"/>
                <w:kern w:val="0"/>
                <w:sz w:val="24"/>
                <w:szCs w:val="24"/>
                <w:u w:val="none"/>
                <w:lang w:val="en-US" w:eastAsia="zh-CN" w:bidi="ar"/>
              </w:rPr>
              <w:t>广电</w:t>
            </w:r>
            <w:r>
              <w:rPr>
                <w:rFonts w:hint="default" w:ascii="Times New Roman" w:hAnsi="Times New Roman" w:eastAsia="仿宋_GB2312" w:cs="Times New Roman"/>
                <w:i w:val="0"/>
                <w:color w:val="000000"/>
                <w:kern w:val="0"/>
                <w:sz w:val="24"/>
                <w:szCs w:val="24"/>
                <w:u w:val="none"/>
                <w:lang w:val="en-US" w:eastAsia="zh-CN" w:bidi="ar"/>
              </w:rPr>
              <w:t>局</w:t>
            </w:r>
          </w:p>
        </w:tc>
        <w:tc>
          <w:tcPr>
            <w:tcW w:w="1342" w:type="dxa"/>
            <w:vMerge w:val="restart"/>
          </w:tcPr>
          <w:p>
            <w:pPr>
              <w:pStyle w:val="4"/>
              <w:keepNext w:val="0"/>
              <w:keepLines w:val="0"/>
              <w:widowControl/>
              <w:suppressLineNumbers w:val="0"/>
              <w:jc w:val="both"/>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w:t>
            </w:r>
            <w:r>
              <w:rPr>
                <w:rFonts w:hint="eastAsia" w:ascii="Times New Roman" w:hAnsi="Times New Roman" w:eastAsia="仿宋_GB2312" w:cs="Times New Roman"/>
                <w:i w:val="0"/>
                <w:color w:val="000000"/>
                <w:kern w:val="0"/>
                <w:sz w:val="24"/>
                <w:szCs w:val="24"/>
                <w:u w:val="none"/>
                <w:lang w:val="en-US" w:eastAsia="zh-CN" w:bidi="ar"/>
              </w:rPr>
              <w:t>7</w:t>
            </w:r>
            <w:r>
              <w:rPr>
                <w:rFonts w:hint="default" w:ascii="Times New Roman" w:hAnsi="Times New Roman" w:eastAsia="仿宋_GB2312" w:cs="Times New Roman"/>
                <w:i w:val="0"/>
                <w:color w:val="000000"/>
                <w:kern w:val="0"/>
                <w:sz w:val="24"/>
                <w:szCs w:val="24"/>
                <w:u w:val="none"/>
                <w:lang w:val="en-US" w:eastAsia="zh-CN" w:bidi="ar"/>
              </w:rPr>
              <w:t>年</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575" w:type="dxa"/>
            <w:vMerge w:val="continue"/>
            <w:vAlign w:val="center"/>
          </w:tcPr>
          <w:p>
            <w:pPr>
              <w:keepNext w:val="0"/>
              <w:keepLines w:val="0"/>
              <w:widowControl/>
              <w:suppressLineNumbers w:val="0"/>
              <w:jc w:val="center"/>
              <w:textAlignment w:val="center"/>
              <w:rPr>
                <w:rFonts w:hint="default" w:eastAsiaTheme="minorEastAsia"/>
                <w:lang w:val="en-US" w:eastAsia="zh-CN"/>
              </w:rPr>
            </w:pPr>
          </w:p>
        </w:tc>
        <w:tc>
          <w:tcPr>
            <w:tcW w:w="2220" w:type="dxa"/>
            <w:vMerge w:val="continue"/>
          </w:tcPr>
          <w:p>
            <w:pPr>
              <w:keepNext w:val="0"/>
              <w:keepLines w:val="0"/>
              <w:widowControl/>
              <w:suppressLineNumbers w:val="0"/>
              <w:jc w:val="both"/>
              <w:textAlignment w:val="center"/>
            </w:pPr>
          </w:p>
        </w:tc>
        <w:tc>
          <w:tcPr>
            <w:tcW w:w="1707"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打造特色康养品牌</w:t>
            </w:r>
          </w:p>
        </w:tc>
        <w:tc>
          <w:tcPr>
            <w:tcW w:w="6866" w:type="dxa"/>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依托</w:t>
            </w:r>
            <w:r>
              <w:rPr>
                <w:rFonts w:hint="eastAsia" w:ascii="Times New Roman" w:hAnsi="Times New Roman" w:eastAsia="仿宋_GB2312" w:cs="Times New Roman"/>
                <w:i w:val="0"/>
                <w:color w:val="000000"/>
                <w:kern w:val="0"/>
                <w:sz w:val="24"/>
                <w:szCs w:val="24"/>
                <w:u w:val="none"/>
                <w:lang w:val="en-US" w:eastAsia="zh-CN" w:bidi="ar"/>
              </w:rPr>
              <w:t>丰富的旅游资源和</w:t>
            </w:r>
            <w:r>
              <w:rPr>
                <w:rFonts w:hint="default" w:ascii="Times New Roman" w:hAnsi="Times New Roman" w:eastAsia="仿宋_GB2312" w:cs="Times New Roman"/>
                <w:i w:val="0"/>
                <w:color w:val="000000"/>
                <w:kern w:val="0"/>
                <w:sz w:val="24"/>
                <w:szCs w:val="24"/>
                <w:u w:val="none"/>
                <w:lang w:val="en-US" w:eastAsia="zh-CN" w:bidi="ar"/>
              </w:rPr>
              <w:t>市康养中心现有项目，打造集养老服务、医疗服务、旅居养老等功能于一体的康养胜地。推动形成特色鲜明，示范性强、有发展潜力、能带动全局的区域性康养中心。</w:t>
            </w:r>
          </w:p>
        </w:tc>
        <w:tc>
          <w:tcPr>
            <w:tcW w:w="1560" w:type="dxa"/>
            <w:vMerge w:val="continue"/>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1342" w:type="dxa"/>
            <w:vMerge w:val="continue"/>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trPr>
        <w:tc>
          <w:tcPr>
            <w:tcW w:w="575" w:type="dxa"/>
            <w:vMerge w:val="restart"/>
            <w:vAlign w:val="center"/>
          </w:tcPr>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r>
              <w:rPr>
                <w:rFonts w:hint="eastAsia" w:ascii="楷体_GB2312" w:hAnsi="楷体_GB2312" w:eastAsia="楷体_GB2312" w:cs="楷体_GB2312"/>
                <w:b/>
                <w:bCs/>
                <w:i w:val="0"/>
                <w:color w:val="000000"/>
                <w:kern w:val="0"/>
                <w:sz w:val="24"/>
                <w:szCs w:val="24"/>
                <w:u w:val="none"/>
                <w:lang w:val="en-US" w:eastAsia="zh-CN" w:bidi="ar"/>
              </w:rPr>
              <w:t>二</w:t>
            </w: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r>
              <w:rPr>
                <w:rFonts w:hint="eastAsia" w:ascii="楷体_GB2312" w:hAnsi="楷体_GB2312" w:eastAsia="楷体_GB2312" w:cs="楷体_GB2312"/>
                <w:b/>
                <w:bCs/>
                <w:i w:val="0"/>
                <w:color w:val="000000"/>
                <w:kern w:val="0"/>
                <w:sz w:val="24"/>
                <w:szCs w:val="24"/>
                <w:u w:val="none"/>
                <w:lang w:val="en-US" w:eastAsia="zh-CN" w:bidi="ar"/>
              </w:rPr>
              <w:t>二</w:t>
            </w:r>
          </w:p>
        </w:tc>
        <w:tc>
          <w:tcPr>
            <w:tcW w:w="2220" w:type="dxa"/>
            <w:vMerge w:val="restart"/>
          </w:tcPr>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r>
              <w:rPr>
                <w:rFonts w:hint="default" w:ascii="楷体_GB2312" w:hAnsi="楷体_GB2312" w:eastAsia="楷体_GB2312" w:cs="楷体_GB2312"/>
                <w:b/>
                <w:bCs/>
                <w:i w:val="0"/>
                <w:color w:val="000000"/>
                <w:kern w:val="0"/>
                <w:sz w:val="24"/>
                <w:szCs w:val="24"/>
                <w:u w:val="none"/>
                <w:lang w:val="en-US" w:eastAsia="zh-CN" w:bidi="ar"/>
              </w:rPr>
              <w:t>深化医疗卫生与养老服务融合发展</w:t>
            </w: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r>
              <w:rPr>
                <w:rFonts w:hint="default" w:ascii="楷体_GB2312" w:hAnsi="楷体_GB2312" w:eastAsia="楷体_GB2312" w:cs="楷体_GB2312"/>
                <w:b/>
                <w:bCs/>
                <w:i w:val="0"/>
                <w:color w:val="000000"/>
                <w:kern w:val="0"/>
                <w:sz w:val="24"/>
                <w:szCs w:val="24"/>
                <w:u w:val="none"/>
                <w:lang w:val="en-US" w:eastAsia="zh-CN" w:bidi="ar"/>
              </w:rPr>
              <w:t>深化医疗卫生与养老服务融合发展</w:t>
            </w:r>
          </w:p>
        </w:tc>
        <w:tc>
          <w:tcPr>
            <w:tcW w:w="1707" w:type="dxa"/>
            <w:vAlign w:val="center"/>
          </w:tcPr>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加强医疗卫生服务体系老年服务功能建设</w:t>
            </w:r>
          </w:p>
        </w:tc>
        <w:tc>
          <w:tcPr>
            <w:tcW w:w="6866" w:type="dxa"/>
            <w:vAlign w:val="center"/>
          </w:tcPr>
          <w:p>
            <w:pPr>
              <w:pStyle w:val="4"/>
              <w:keepNext w:val="0"/>
              <w:keepLines w:val="0"/>
              <w:widowControl/>
              <w:suppressLineNumbers w:val="0"/>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开展老年保健、老年疾病防治与康复、老年健身、心理健康等知识普及。完善社区和乡镇卫生服务体系，开展老年常见病、慢性病、口腔疾病的筛查干预、检测评估、健康指导，深化家庭医生签约服务，落实国家基本公共卫生服务项目。支持沙坡头区人民医院、兴仁镇中心卫生院等医疗机构建设区域康复护理中心（科），组织医疗机构开展适老化改造，开通老年人挂号、就医绿色通道，</w:t>
            </w:r>
            <w:r>
              <w:rPr>
                <w:rFonts w:hint="eastAsia" w:ascii="Times New Roman" w:hAnsi="Times New Roman" w:eastAsia="仿宋_GB2312" w:cs="Times New Roman"/>
                <w:i w:val="0"/>
                <w:color w:val="000000"/>
                <w:kern w:val="0"/>
                <w:sz w:val="24"/>
                <w:szCs w:val="24"/>
                <w:u w:val="none"/>
                <w:lang w:val="en-US" w:eastAsia="zh-CN" w:bidi="ar"/>
              </w:rPr>
              <w:t>鼓励有条件的基础医疗卫生机构</w:t>
            </w:r>
            <w:r>
              <w:rPr>
                <w:rFonts w:hint="default" w:ascii="Times New Roman" w:hAnsi="Times New Roman" w:eastAsia="仿宋_GB2312" w:cs="Times New Roman"/>
                <w:i w:val="0"/>
                <w:color w:val="000000"/>
                <w:kern w:val="0"/>
                <w:sz w:val="24"/>
                <w:szCs w:val="24"/>
                <w:u w:val="none"/>
                <w:lang w:val="en-US" w:eastAsia="zh-CN" w:bidi="ar"/>
              </w:rPr>
              <w:t>开设老年病科，提供老年病房（床），为老年人提供全方位便捷服务，提升老年人就医满意度。到2027年，全</w:t>
            </w:r>
            <w:r>
              <w:rPr>
                <w:rFonts w:hint="eastAsia" w:ascii="Times New Roman" w:hAnsi="Times New Roman" w:eastAsia="仿宋_GB2312" w:cs="Times New Roman"/>
                <w:i w:val="0"/>
                <w:color w:val="000000"/>
                <w:kern w:val="0"/>
                <w:sz w:val="24"/>
                <w:szCs w:val="24"/>
                <w:u w:val="none"/>
                <w:lang w:val="en-US" w:eastAsia="zh-CN" w:bidi="ar"/>
              </w:rPr>
              <w:t>区</w:t>
            </w:r>
            <w:r>
              <w:rPr>
                <w:rFonts w:hint="default" w:ascii="Times New Roman" w:hAnsi="Times New Roman" w:eastAsia="仿宋_GB2312" w:cs="Times New Roman"/>
                <w:i w:val="0"/>
                <w:color w:val="000000"/>
                <w:kern w:val="0"/>
                <w:sz w:val="24"/>
                <w:szCs w:val="24"/>
                <w:u w:val="none"/>
                <w:lang w:val="en-US" w:eastAsia="zh-CN" w:bidi="ar"/>
              </w:rPr>
              <w:t>65岁以上老年人城乡社区规范健康管理服务率达到75%，老年友善医疗机构占比达到85%以上。</w:t>
            </w:r>
          </w:p>
        </w:tc>
        <w:tc>
          <w:tcPr>
            <w:tcW w:w="1560" w:type="dxa"/>
            <w:vMerge w:val="restart"/>
          </w:tcPr>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eastAsia"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区卫健局、发改局、医保局</w:t>
            </w:r>
          </w:p>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ind w:firstLine="240" w:firstLineChars="100"/>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ind w:firstLine="240" w:firstLineChars="100"/>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ind w:firstLine="240" w:firstLineChars="100"/>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区卫健局、民社局、医保局</w:t>
            </w:r>
          </w:p>
        </w:tc>
        <w:tc>
          <w:tcPr>
            <w:tcW w:w="1342" w:type="dxa"/>
            <w:vMerge w:val="restart"/>
          </w:tcPr>
          <w:p>
            <w:pPr>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keepNext w:val="0"/>
              <w:keepLines w:val="0"/>
              <w:widowControl/>
              <w:suppressLineNumbers w:val="0"/>
              <w:jc w:val="center"/>
              <w:rPr>
                <w:rFonts w:hint="eastAsia" w:ascii="Times New Roman" w:hAnsi="Times New Roman" w:eastAsia="仿宋_GB2312" w:cs="Times New Roman"/>
                <w:i w:val="0"/>
                <w:color w:val="000000"/>
                <w:kern w:val="0"/>
                <w:sz w:val="24"/>
                <w:szCs w:val="24"/>
                <w:u w:val="none"/>
                <w:lang w:val="en-US" w:eastAsia="zh-CN" w:bidi="ar"/>
              </w:rPr>
            </w:pPr>
          </w:p>
          <w:p>
            <w:pPr>
              <w:keepNext w:val="0"/>
              <w:keepLines w:val="0"/>
              <w:widowControl/>
              <w:suppressLineNumbers w:val="0"/>
              <w:jc w:val="center"/>
              <w:rPr>
                <w:rFonts w:hint="eastAsia" w:ascii="Times New Roman" w:hAnsi="Times New Roman" w:eastAsia="仿宋_GB2312" w:cs="Times New Roman"/>
                <w:i w:val="0"/>
                <w:color w:val="000000"/>
                <w:kern w:val="0"/>
                <w:sz w:val="24"/>
                <w:szCs w:val="24"/>
                <w:u w:val="none"/>
                <w:lang w:val="en-US" w:eastAsia="zh-CN" w:bidi="ar"/>
              </w:rPr>
            </w:pPr>
          </w:p>
          <w:p>
            <w:pPr>
              <w:keepNext w:val="0"/>
              <w:keepLines w:val="0"/>
              <w:widowControl/>
              <w:suppressLineNumbers w:val="0"/>
              <w:jc w:val="center"/>
              <w:rPr>
                <w:rFonts w:hint="eastAsia" w:ascii="Times New Roman" w:hAnsi="Times New Roman" w:eastAsia="仿宋_GB2312" w:cs="Times New Roman"/>
                <w:i w:val="0"/>
                <w:color w:val="000000"/>
                <w:kern w:val="0"/>
                <w:sz w:val="24"/>
                <w:szCs w:val="24"/>
                <w:u w:val="none"/>
                <w:lang w:val="en-US" w:eastAsia="zh-CN" w:bidi="ar"/>
              </w:rPr>
            </w:pPr>
          </w:p>
          <w:p>
            <w:pPr>
              <w:keepNext w:val="0"/>
              <w:keepLines w:val="0"/>
              <w:widowControl/>
              <w:suppressLineNumbers w:val="0"/>
              <w:jc w:val="center"/>
              <w:rPr>
                <w:rFonts w:hint="eastAsia" w:ascii="Times New Roman" w:hAnsi="Times New Roman" w:eastAsia="仿宋_GB2312" w:cs="Times New Roman"/>
                <w:i w:val="0"/>
                <w:color w:val="000000"/>
                <w:kern w:val="0"/>
                <w:sz w:val="24"/>
                <w:szCs w:val="24"/>
                <w:u w:val="none"/>
                <w:lang w:val="en-US" w:eastAsia="zh-CN" w:bidi="ar"/>
              </w:rPr>
            </w:pPr>
          </w:p>
          <w:p>
            <w:pPr>
              <w:keepNext w:val="0"/>
              <w:keepLines w:val="0"/>
              <w:widowControl/>
              <w:suppressLineNumbers w:val="0"/>
              <w:jc w:val="center"/>
              <w:rPr>
                <w:rFonts w:hint="eastAsia"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2027年</w:t>
            </w:r>
          </w:p>
          <w:p>
            <w:pPr>
              <w:keepNext w:val="0"/>
              <w:keepLines w:val="0"/>
              <w:widowControl/>
              <w:suppressLineNumbers w:val="0"/>
              <w:jc w:val="center"/>
              <w:rPr>
                <w:rFonts w:hint="eastAsia" w:ascii="Times New Roman" w:hAnsi="Times New Roman" w:eastAsia="仿宋_GB2312" w:cs="Times New Roman"/>
                <w:i w:val="0"/>
                <w:color w:val="000000"/>
                <w:kern w:val="0"/>
                <w:sz w:val="24"/>
                <w:szCs w:val="24"/>
                <w:u w:val="none"/>
                <w:lang w:val="en-US" w:eastAsia="zh-CN" w:bidi="ar"/>
              </w:rPr>
            </w:pPr>
          </w:p>
          <w:p>
            <w:pPr>
              <w:keepNext w:val="0"/>
              <w:keepLines w:val="0"/>
              <w:widowControl/>
              <w:suppressLineNumbers w:val="0"/>
              <w:jc w:val="center"/>
              <w:rPr>
                <w:rFonts w:hint="eastAsia" w:ascii="Times New Roman" w:hAnsi="Times New Roman" w:eastAsia="仿宋_GB2312" w:cs="Times New Roman"/>
                <w:i w:val="0"/>
                <w:color w:val="000000"/>
                <w:kern w:val="0"/>
                <w:sz w:val="24"/>
                <w:szCs w:val="24"/>
                <w:u w:val="none"/>
                <w:lang w:val="en-US" w:eastAsia="zh-CN" w:bidi="ar"/>
              </w:rPr>
            </w:pPr>
          </w:p>
          <w:p>
            <w:pPr>
              <w:keepNext w:val="0"/>
              <w:keepLines w:val="0"/>
              <w:widowControl/>
              <w:suppressLineNumbers w:val="0"/>
              <w:jc w:val="center"/>
              <w:rPr>
                <w:rFonts w:hint="eastAsia" w:ascii="Times New Roman" w:hAnsi="Times New Roman" w:eastAsia="仿宋_GB2312" w:cs="Times New Roman"/>
                <w:i w:val="0"/>
                <w:color w:val="000000"/>
                <w:kern w:val="0"/>
                <w:sz w:val="24"/>
                <w:szCs w:val="24"/>
                <w:u w:val="none"/>
                <w:lang w:val="en-US" w:eastAsia="zh-CN" w:bidi="ar"/>
              </w:rPr>
            </w:pPr>
          </w:p>
          <w:p>
            <w:pPr>
              <w:keepNext w:val="0"/>
              <w:keepLines w:val="0"/>
              <w:widowControl/>
              <w:suppressLineNumbers w:val="0"/>
              <w:jc w:val="center"/>
              <w:rPr>
                <w:rFonts w:hint="eastAsia" w:ascii="Times New Roman" w:hAnsi="Times New Roman" w:eastAsia="仿宋_GB2312" w:cs="Times New Roman"/>
                <w:i w:val="0"/>
                <w:color w:val="000000"/>
                <w:kern w:val="0"/>
                <w:sz w:val="24"/>
                <w:szCs w:val="24"/>
                <w:u w:val="none"/>
                <w:lang w:val="en-US" w:eastAsia="zh-CN" w:bidi="ar"/>
              </w:rPr>
            </w:pPr>
          </w:p>
          <w:p>
            <w:pPr>
              <w:keepNext w:val="0"/>
              <w:keepLines w:val="0"/>
              <w:widowControl/>
              <w:suppressLineNumbers w:val="0"/>
              <w:jc w:val="center"/>
              <w:rPr>
                <w:rFonts w:hint="eastAsia" w:ascii="Times New Roman" w:hAnsi="Times New Roman" w:eastAsia="仿宋_GB2312" w:cs="Times New Roman"/>
                <w:i w:val="0"/>
                <w:color w:val="000000"/>
                <w:kern w:val="0"/>
                <w:sz w:val="24"/>
                <w:szCs w:val="24"/>
                <w:u w:val="none"/>
                <w:lang w:val="en-US" w:eastAsia="zh-CN" w:bidi="ar"/>
              </w:rPr>
            </w:pPr>
          </w:p>
          <w:p>
            <w:pPr>
              <w:keepNext w:val="0"/>
              <w:keepLines w:val="0"/>
              <w:widowControl/>
              <w:suppressLineNumbers w:val="0"/>
              <w:jc w:val="center"/>
              <w:rPr>
                <w:rFonts w:hint="eastAsia" w:ascii="Times New Roman" w:hAnsi="Times New Roman" w:eastAsia="仿宋_GB2312" w:cs="Times New Roman"/>
                <w:i w:val="0"/>
                <w:color w:val="000000"/>
                <w:kern w:val="0"/>
                <w:sz w:val="24"/>
                <w:szCs w:val="24"/>
                <w:u w:val="none"/>
                <w:lang w:val="en-US" w:eastAsia="zh-CN" w:bidi="ar"/>
              </w:rPr>
            </w:pPr>
          </w:p>
          <w:p>
            <w:pPr>
              <w:keepNext w:val="0"/>
              <w:keepLines w:val="0"/>
              <w:widowControl/>
              <w:suppressLineNumbers w:val="0"/>
              <w:jc w:val="center"/>
              <w:rPr>
                <w:rFonts w:hint="eastAsia" w:ascii="Times New Roman" w:hAnsi="Times New Roman" w:eastAsia="仿宋_GB2312" w:cs="Times New Roman"/>
                <w:i w:val="0"/>
                <w:color w:val="000000"/>
                <w:kern w:val="0"/>
                <w:sz w:val="24"/>
                <w:szCs w:val="24"/>
                <w:u w:val="none"/>
                <w:lang w:val="en-US" w:eastAsia="zh-CN" w:bidi="ar"/>
              </w:rPr>
            </w:pPr>
          </w:p>
          <w:p>
            <w:pPr>
              <w:keepNext w:val="0"/>
              <w:keepLines w:val="0"/>
              <w:widowControl/>
              <w:suppressLineNumbers w:val="0"/>
              <w:jc w:val="center"/>
              <w:rPr>
                <w:rFonts w:hint="eastAsia" w:ascii="Times New Roman" w:hAnsi="Times New Roman" w:eastAsia="仿宋_GB2312" w:cs="Times New Roman"/>
                <w:i w:val="0"/>
                <w:color w:val="000000"/>
                <w:kern w:val="0"/>
                <w:sz w:val="24"/>
                <w:szCs w:val="24"/>
                <w:u w:val="none"/>
                <w:lang w:val="en-US" w:eastAsia="zh-CN" w:bidi="ar"/>
              </w:rPr>
            </w:pPr>
          </w:p>
          <w:p>
            <w:pPr>
              <w:keepNext w:val="0"/>
              <w:keepLines w:val="0"/>
              <w:widowControl/>
              <w:suppressLineNumbers w:val="0"/>
              <w:jc w:val="center"/>
              <w:rPr>
                <w:rFonts w:hint="eastAsia" w:ascii="Times New Roman" w:hAnsi="Times New Roman" w:eastAsia="仿宋_GB2312" w:cs="Times New Roman"/>
                <w:i w:val="0"/>
                <w:color w:val="000000"/>
                <w:kern w:val="0"/>
                <w:sz w:val="24"/>
                <w:szCs w:val="24"/>
                <w:u w:val="none"/>
                <w:lang w:val="en-US" w:eastAsia="zh-CN" w:bidi="ar"/>
              </w:rPr>
            </w:pPr>
          </w:p>
          <w:p>
            <w:pPr>
              <w:keepNext w:val="0"/>
              <w:keepLines w:val="0"/>
              <w:widowControl/>
              <w:suppressLineNumbers w:val="0"/>
              <w:jc w:val="center"/>
              <w:rPr>
                <w:rFonts w:hint="eastAsia" w:ascii="Times New Roman" w:hAnsi="Times New Roman" w:eastAsia="仿宋_GB2312" w:cs="Times New Roman"/>
                <w:i w:val="0"/>
                <w:color w:val="000000"/>
                <w:kern w:val="0"/>
                <w:sz w:val="24"/>
                <w:szCs w:val="24"/>
                <w:u w:val="none"/>
                <w:lang w:val="en-US" w:eastAsia="zh-CN" w:bidi="ar"/>
              </w:rPr>
            </w:pPr>
          </w:p>
          <w:p>
            <w:pPr>
              <w:keepNext w:val="0"/>
              <w:keepLines w:val="0"/>
              <w:widowControl/>
              <w:suppressLineNumbers w:val="0"/>
              <w:jc w:val="center"/>
              <w:rPr>
                <w:rFonts w:hint="eastAsia" w:ascii="Times New Roman" w:hAnsi="Times New Roman" w:eastAsia="仿宋_GB2312" w:cs="Times New Roman"/>
                <w:i w:val="0"/>
                <w:color w:val="000000"/>
                <w:kern w:val="0"/>
                <w:sz w:val="24"/>
                <w:szCs w:val="24"/>
                <w:u w:val="none"/>
                <w:lang w:val="en-US" w:eastAsia="zh-CN" w:bidi="ar"/>
              </w:rPr>
            </w:pPr>
          </w:p>
          <w:p>
            <w:pPr>
              <w:keepNext w:val="0"/>
              <w:keepLines w:val="0"/>
              <w:widowControl/>
              <w:suppressLineNumbers w:val="0"/>
              <w:jc w:val="center"/>
              <w:rPr>
                <w:rFonts w:hint="eastAsia" w:ascii="Times New Roman" w:hAnsi="Times New Roman" w:eastAsia="仿宋_GB2312" w:cs="Times New Roman"/>
                <w:i w:val="0"/>
                <w:color w:val="000000"/>
                <w:kern w:val="0"/>
                <w:sz w:val="24"/>
                <w:szCs w:val="24"/>
                <w:u w:val="none"/>
                <w:lang w:val="en-US" w:eastAsia="zh-CN" w:bidi="ar"/>
              </w:rPr>
            </w:pPr>
          </w:p>
          <w:p>
            <w:pPr>
              <w:keepNext w:val="0"/>
              <w:keepLines w:val="0"/>
              <w:widowControl/>
              <w:suppressLineNumbers w:val="0"/>
              <w:jc w:val="center"/>
              <w:rPr>
                <w:rFonts w:hint="eastAsia" w:ascii="Times New Roman" w:hAnsi="Times New Roman" w:eastAsia="仿宋_GB2312" w:cs="Times New Roman"/>
                <w:i w:val="0"/>
                <w:color w:val="000000"/>
                <w:kern w:val="0"/>
                <w:sz w:val="24"/>
                <w:szCs w:val="24"/>
                <w:u w:val="none"/>
                <w:lang w:val="en-US" w:eastAsia="zh-CN" w:bidi="ar"/>
              </w:rPr>
            </w:pPr>
          </w:p>
          <w:p>
            <w:pPr>
              <w:keepNext w:val="0"/>
              <w:keepLines w:val="0"/>
              <w:widowControl/>
              <w:suppressLineNumbers w:val="0"/>
              <w:jc w:val="center"/>
              <w:rPr>
                <w:rFonts w:hint="eastAsia" w:ascii="Times New Roman" w:hAnsi="Times New Roman" w:eastAsia="仿宋_GB2312" w:cs="Times New Roman"/>
                <w:i w:val="0"/>
                <w:color w:val="000000"/>
                <w:kern w:val="0"/>
                <w:sz w:val="24"/>
                <w:szCs w:val="24"/>
                <w:u w:val="none"/>
                <w:lang w:val="en-US" w:eastAsia="zh-CN" w:bidi="ar"/>
              </w:rPr>
            </w:pPr>
          </w:p>
          <w:p>
            <w:pPr>
              <w:keepNext w:val="0"/>
              <w:keepLines w:val="0"/>
              <w:widowControl/>
              <w:suppressLineNumbers w:val="0"/>
              <w:jc w:val="center"/>
              <w:rPr>
                <w:rFonts w:hint="eastAsia" w:ascii="Times New Roman" w:hAnsi="Times New Roman" w:eastAsia="仿宋_GB2312" w:cs="Times New Roman"/>
                <w:i w:val="0"/>
                <w:color w:val="000000"/>
                <w:kern w:val="0"/>
                <w:sz w:val="24"/>
                <w:szCs w:val="24"/>
                <w:u w:val="none"/>
                <w:lang w:val="en-US" w:eastAsia="zh-CN" w:bidi="ar"/>
              </w:rPr>
            </w:pPr>
          </w:p>
          <w:p>
            <w:pPr>
              <w:keepNext w:val="0"/>
              <w:keepLines w:val="0"/>
              <w:widowControl/>
              <w:suppressLineNumbers w:val="0"/>
              <w:jc w:val="center"/>
              <w:rPr>
                <w:rFonts w:hint="eastAsia" w:ascii="Times New Roman" w:hAnsi="Times New Roman" w:eastAsia="仿宋_GB2312" w:cs="Times New Roman"/>
                <w:i w:val="0"/>
                <w:color w:val="000000"/>
                <w:kern w:val="0"/>
                <w:sz w:val="24"/>
                <w:szCs w:val="24"/>
                <w:u w:val="none"/>
                <w:lang w:val="en-US" w:eastAsia="zh-CN" w:bidi="ar"/>
              </w:rPr>
            </w:pPr>
          </w:p>
          <w:p>
            <w:pPr>
              <w:keepNext w:val="0"/>
              <w:keepLines w:val="0"/>
              <w:widowControl/>
              <w:suppressLineNumbers w:val="0"/>
              <w:jc w:val="center"/>
              <w:rPr>
                <w:rFonts w:hint="eastAsia" w:ascii="Times New Roman" w:hAnsi="Times New Roman" w:eastAsia="仿宋_GB2312" w:cs="Times New Roman"/>
                <w:i w:val="0"/>
                <w:color w:val="000000"/>
                <w:kern w:val="0"/>
                <w:sz w:val="24"/>
                <w:szCs w:val="24"/>
                <w:u w:val="none"/>
                <w:lang w:val="en-US" w:eastAsia="zh-CN" w:bidi="ar"/>
              </w:rPr>
            </w:pPr>
          </w:p>
          <w:p>
            <w:pPr>
              <w:keepNext w:val="0"/>
              <w:keepLines w:val="0"/>
              <w:widowControl/>
              <w:suppressLineNumbers w:val="0"/>
              <w:jc w:val="center"/>
              <w:rPr>
                <w:rFonts w:hint="eastAsia" w:ascii="Times New Roman" w:hAnsi="Times New Roman" w:eastAsia="仿宋_GB2312" w:cs="Times New Roman"/>
                <w:i w:val="0"/>
                <w:color w:val="000000"/>
                <w:kern w:val="0"/>
                <w:sz w:val="24"/>
                <w:szCs w:val="24"/>
                <w:u w:val="none"/>
                <w:lang w:val="en-US" w:eastAsia="zh-CN" w:bidi="ar"/>
              </w:rPr>
            </w:pPr>
          </w:p>
          <w:p>
            <w:pPr>
              <w:keepNext w:val="0"/>
              <w:keepLines w:val="0"/>
              <w:widowControl/>
              <w:suppressLineNumbers w:val="0"/>
              <w:jc w:val="center"/>
              <w:rPr>
                <w:rFonts w:hint="eastAsia"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2027年</w:t>
            </w:r>
          </w:p>
          <w:p>
            <w:pPr>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6" w:hRule="atLeast"/>
        </w:trPr>
        <w:tc>
          <w:tcPr>
            <w:tcW w:w="575" w:type="dxa"/>
            <w:vMerge w:val="continue"/>
            <w:vAlign w:val="center"/>
          </w:tcPr>
          <w:p>
            <w:pPr>
              <w:pStyle w:val="4"/>
              <w:keepNext w:val="0"/>
              <w:keepLines w:val="0"/>
              <w:widowControl/>
              <w:suppressLineNumbers w:val="0"/>
              <w:jc w:val="center"/>
              <w:rPr>
                <w:rFonts w:hint="eastAsia" w:eastAsia="宋体"/>
                <w:lang w:val="en-US" w:eastAsia="zh-CN"/>
              </w:rPr>
            </w:pPr>
          </w:p>
        </w:tc>
        <w:tc>
          <w:tcPr>
            <w:tcW w:w="2220" w:type="dxa"/>
            <w:vMerge w:val="continue"/>
          </w:tcPr>
          <w:p>
            <w:pPr>
              <w:pStyle w:val="4"/>
              <w:keepNext w:val="0"/>
              <w:keepLines w:val="0"/>
              <w:widowControl/>
              <w:suppressLineNumbers w:val="0"/>
            </w:pPr>
          </w:p>
        </w:tc>
        <w:tc>
          <w:tcPr>
            <w:tcW w:w="1707" w:type="dxa"/>
            <w:vAlign w:val="center"/>
          </w:tcPr>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加强医养结合服务能力建设</w:t>
            </w:r>
          </w:p>
        </w:tc>
        <w:tc>
          <w:tcPr>
            <w:tcW w:w="6866" w:type="dxa"/>
            <w:vAlign w:val="center"/>
          </w:tcPr>
          <w:p>
            <w:pPr>
              <w:pStyle w:val="4"/>
              <w:keepNext w:val="0"/>
              <w:keepLines w:val="0"/>
              <w:widowControl/>
              <w:suppressLineNumbers w:val="0"/>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推进社区卫生服务机构与社区养老服务机构、社区康复站，乡镇卫生院与特困人员供养服务机构（敬老院），村卫生室与农村老饭桌（幸福院）、残疾人照护机构统筹规划、毗邻建设。整合医疗卫生、养老服务、残疾人康复及社区等服务功能，组织实施沙坡头区兴仁镇中心卫生院医养结合服务能力提升示范项目。大力发展居家、社区、机构医养结合服务，探索建立“医护康养一体化”的家庭医生签约服务模式，支持有条件的医疗卫生机构为老年人提供家庭病床、上门巡诊等服务，鼓励医疗卫生机构在养老服务机构设立医疗服务站点，提供嵌入式医疗卫生服务。公立医疗卫生机构为老年人等人群提供上门（延伸）医疗和护理服务，采取“医疗服务价格＋上门服务费”的方式收费。增加公办养老机构设安宁疗护床位，支持社会力量举办安宁疗护服务机构或者提供安宁疗护服务。到2027年，沙坡头区养老机构护理型床位占比达到60%，具备医养结合服务能力的养老机构占比达到80%。</w:t>
            </w:r>
          </w:p>
        </w:tc>
        <w:tc>
          <w:tcPr>
            <w:tcW w:w="1560" w:type="dxa"/>
            <w:vMerge w:val="continue"/>
          </w:tcPr>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tc>
        <w:tc>
          <w:tcPr>
            <w:tcW w:w="1342" w:type="dxa"/>
            <w:vMerge w:val="continue"/>
          </w:tcPr>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dxa"/>
            <w:vMerge w:val="continue"/>
            <w:vAlign w:val="center"/>
          </w:tcPr>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tc>
        <w:tc>
          <w:tcPr>
            <w:tcW w:w="2220" w:type="dxa"/>
            <w:vMerge w:val="continue"/>
          </w:tcPr>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tc>
        <w:tc>
          <w:tcPr>
            <w:tcW w:w="1707"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加强中医药老年健康服务功能建设</w:t>
            </w:r>
          </w:p>
        </w:tc>
        <w:tc>
          <w:tcPr>
            <w:tcW w:w="6866" w:type="dxa"/>
            <w:vAlign w:val="center"/>
          </w:tcPr>
          <w:p>
            <w:pPr>
              <w:pStyle w:val="4"/>
              <w:keepNext w:val="0"/>
              <w:keepLines w:val="0"/>
              <w:widowControl/>
              <w:suppressLineNumbers w:val="0"/>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做实对老年人等重点人群家庭医生签约服务，重点覆盖失能老人签约服务需求，结合老年人健康管理项目试点，开展老年人阿尔兹海默症、帕金森病“两病”筛查。发挥中医药治未病的主导作用、重大疾病治疗的协同作用和疾病康复的核心作用，提升中医药老年健康服务水平。推进中医药健康养老向农村、社区家庭下沉，鼓励开展社区和居家中医药健康养老服务。发挥中医药在老年预防保健、综合施治、康复护理、安宁疗护方面的独特作用，促进中医药与养老服务融合发展。</w:t>
            </w:r>
            <w:r>
              <w:rPr>
                <w:rFonts w:hint="eastAsia" w:ascii="Times New Roman" w:hAnsi="Times New Roman" w:eastAsia="仿宋_GB2312" w:cs="Times New Roman"/>
                <w:i w:val="0"/>
                <w:color w:val="000000"/>
                <w:kern w:val="0"/>
                <w:sz w:val="24"/>
                <w:szCs w:val="24"/>
                <w:u w:val="none"/>
                <w:lang w:val="en-US" w:eastAsia="zh-CN" w:bidi="ar"/>
              </w:rPr>
              <w:t>加强综合医院中医科、康复科建设，在基层医疗卫生机构建设“康复室”，开展医康养服务，同时，优化社区卫生服务中心、乡镇卫生院与养老机构签约服务，开展与养老机构相街接的康养服务</w:t>
            </w:r>
            <w:r>
              <w:rPr>
                <w:rFonts w:hint="default" w:ascii="Times New Roman" w:hAnsi="Times New Roman" w:eastAsia="仿宋_GB2312" w:cs="Times New Roman"/>
                <w:i w:val="0"/>
                <w:color w:val="000000"/>
                <w:kern w:val="0"/>
                <w:sz w:val="24"/>
                <w:szCs w:val="24"/>
                <w:u w:val="none"/>
                <w:lang w:val="en-US" w:eastAsia="zh-CN" w:bidi="ar"/>
              </w:rPr>
              <w:t>，推动中医科室、养老机构等合作共建。支持中卫市康养中心联合柔远卫生院开展具有中医特色的老年人养生保健、医疗、康复、护理服务。</w:t>
            </w:r>
          </w:p>
        </w:tc>
        <w:tc>
          <w:tcPr>
            <w:tcW w:w="1560" w:type="dxa"/>
            <w:vMerge w:val="continue"/>
          </w:tcPr>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tc>
        <w:tc>
          <w:tcPr>
            <w:tcW w:w="1342" w:type="dxa"/>
            <w:vMerge w:val="continue"/>
          </w:tcPr>
          <w:p>
            <w:pPr>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4" w:hRule="atLeast"/>
        </w:trPr>
        <w:tc>
          <w:tcPr>
            <w:tcW w:w="575" w:type="dxa"/>
            <w:vMerge w:val="restart"/>
            <w:vAlign w:val="center"/>
          </w:tcPr>
          <w:p>
            <w:pPr>
              <w:jc w:val="center"/>
              <w:rPr>
                <w:rFonts w:hint="default" w:ascii="楷体_GB2312" w:hAnsi="楷体_GB2312" w:eastAsia="楷体_GB2312" w:cs="楷体_GB2312"/>
                <w:b/>
                <w:bCs/>
                <w:i w:val="0"/>
                <w:color w:val="000000"/>
                <w:kern w:val="0"/>
                <w:sz w:val="24"/>
                <w:szCs w:val="24"/>
                <w:u w:val="none"/>
                <w:lang w:val="en-US" w:eastAsia="zh-CN" w:bidi="ar"/>
              </w:rPr>
            </w:pPr>
            <w:r>
              <w:rPr>
                <w:rFonts w:hint="eastAsia" w:ascii="楷体_GB2312" w:hAnsi="楷体_GB2312" w:eastAsia="楷体_GB2312" w:cs="楷体_GB2312"/>
                <w:b/>
                <w:bCs/>
                <w:i w:val="0"/>
                <w:color w:val="000000"/>
                <w:kern w:val="0"/>
                <w:sz w:val="24"/>
                <w:szCs w:val="24"/>
                <w:u w:val="none"/>
                <w:lang w:val="en-US" w:eastAsia="zh-CN" w:bidi="ar"/>
              </w:rPr>
              <w:t>三</w:t>
            </w:r>
          </w:p>
        </w:tc>
        <w:tc>
          <w:tcPr>
            <w:tcW w:w="2220" w:type="dxa"/>
            <w:vMerge w:val="restart"/>
          </w:tcPr>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r>
              <w:rPr>
                <w:rFonts w:hint="default" w:ascii="楷体_GB2312" w:hAnsi="楷体_GB2312" w:eastAsia="楷体_GB2312" w:cs="楷体_GB2312"/>
                <w:b/>
                <w:bCs/>
                <w:i w:val="0"/>
                <w:color w:val="000000"/>
                <w:kern w:val="0"/>
                <w:sz w:val="24"/>
                <w:szCs w:val="24"/>
                <w:u w:val="none"/>
                <w:lang w:val="en-US" w:eastAsia="zh-CN" w:bidi="ar"/>
              </w:rPr>
              <w:t>发展健康养老产业链</w:t>
            </w:r>
          </w:p>
        </w:tc>
        <w:tc>
          <w:tcPr>
            <w:tcW w:w="1707"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加强健康养生食品供给</w:t>
            </w:r>
          </w:p>
        </w:tc>
        <w:tc>
          <w:tcPr>
            <w:tcW w:w="6866" w:type="dxa"/>
            <w:vAlign w:val="center"/>
          </w:tcPr>
          <w:p>
            <w:pPr>
              <w:pStyle w:val="4"/>
              <w:keepNext w:val="0"/>
              <w:keepLines w:val="0"/>
              <w:widowControl/>
              <w:suppressLineNumbers w:val="0"/>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推进沙坡头苹果、硒砂瓜等特色优质农产品建设。积极发展以地道枸杞、特色杂粮、优质肉奶制品为主的长寿食品、富硒食品等，打造“国子标”“宁子标”健康养生品牌。培育壮大一批健康食品龙头企业，塑造健康养生食品品牌，提高市场竞争力。</w:t>
            </w:r>
          </w:p>
        </w:tc>
        <w:tc>
          <w:tcPr>
            <w:tcW w:w="1560" w:type="dxa"/>
            <w:vMerge w:val="restart"/>
          </w:tcPr>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ind w:firstLine="240" w:firstLineChars="100"/>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ind w:firstLine="240" w:firstLineChars="100"/>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ind w:firstLine="240" w:firstLineChars="100"/>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ind w:firstLine="240" w:firstLineChars="100"/>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ind w:firstLine="240" w:firstLineChars="100"/>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区农业农村局、发改局、财政局、工信局和商务局、卫健局、市场监管分局</w:t>
            </w:r>
          </w:p>
        </w:tc>
        <w:tc>
          <w:tcPr>
            <w:tcW w:w="1342" w:type="dxa"/>
            <w:vMerge w:val="restart"/>
          </w:tcPr>
          <w:p>
            <w:pPr>
              <w:keepNext w:val="0"/>
              <w:keepLines w:val="0"/>
              <w:widowControl/>
              <w:suppressLineNumbers w:val="0"/>
              <w:ind w:firstLine="240" w:firstLineChars="100"/>
              <w:jc w:val="center"/>
              <w:rPr>
                <w:rFonts w:hint="default" w:ascii="Times New Roman" w:hAnsi="Times New Roman" w:eastAsia="仿宋_GB2312" w:cs="Times New Roman"/>
                <w:i w:val="0"/>
                <w:color w:val="000000"/>
                <w:kern w:val="0"/>
                <w:sz w:val="24"/>
                <w:szCs w:val="24"/>
                <w:u w:val="none"/>
                <w:lang w:val="en-US" w:eastAsia="zh-CN" w:bidi="ar"/>
              </w:rPr>
            </w:pPr>
          </w:p>
          <w:p>
            <w:pPr>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ind w:firstLine="240" w:firstLineChars="10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ind w:firstLine="240" w:firstLineChars="10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w:t>
            </w:r>
            <w:r>
              <w:rPr>
                <w:rFonts w:hint="eastAsia" w:ascii="Times New Roman" w:hAnsi="Times New Roman" w:eastAsia="仿宋_GB2312" w:cs="Times New Roman"/>
                <w:i w:val="0"/>
                <w:color w:val="000000"/>
                <w:kern w:val="0"/>
                <w:sz w:val="24"/>
                <w:szCs w:val="24"/>
                <w:u w:val="none"/>
                <w:lang w:val="en-US" w:eastAsia="zh-CN" w:bidi="ar"/>
              </w:rPr>
              <w:t>7</w:t>
            </w:r>
            <w:r>
              <w:rPr>
                <w:rFonts w:hint="default" w:ascii="Times New Roman" w:hAnsi="Times New Roman" w:eastAsia="仿宋_GB2312" w:cs="Times New Roman"/>
                <w:i w:val="0"/>
                <w:color w:val="000000"/>
                <w:kern w:val="0"/>
                <w:sz w:val="24"/>
                <w:szCs w:val="24"/>
                <w:u w:val="none"/>
                <w:lang w:val="en-US" w:eastAsia="zh-CN" w:bidi="ar"/>
              </w:rPr>
              <w:t>年</w:t>
            </w: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9" w:hRule="atLeast"/>
        </w:trPr>
        <w:tc>
          <w:tcPr>
            <w:tcW w:w="575" w:type="dxa"/>
            <w:vMerge w:val="continue"/>
            <w:vAlign w:val="center"/>
          </w:tcPr>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tc>
        <w:tc>
          <w:tcPr>
            <w:tcW w:w="2220" w:type="dxa"/>
            <w:vMerge w:val="continue"/>
            <w:vAlign w:val="top"/>
          </w:tcPr>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tc>
        <w:tc>
          <w:tcPr>
            <w:tcW w:w="1707" w:type="dxa"/>
            <w:vAlign w:val="center"/>
          </w:tcPr>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加强</w:t>
            </w:r>
            <w:r>
              <w:rPr>
                <w:rFonts w:hint="eastAsia" w:ascii="Times New Roman" w:hAnsi="Times New Roman" w:eastAsia="仿宋_GB2312" w:cs="Times New Roman"/>
                <w:i w:val="0"/>
                <w:color w:val="000000"/>
                <w:kern w:val="0"/>
                <w:sz w:val="24"/>
                <w:szCs w:val="24"/>
                <w:u w:val="none"/>
                <w:lang w:val="en-US" w:eastAsia="zh-CN" w:bidi="ar"/>
              </w:rPr>
              <w:t>培育</w:t>
            </w:r>
            <w:r>
              <w:rPr>
                <w:rFonts w:hint="default" w:ascii="Times New Roman" w:hAnsi="Times New Roman" w:eastAsia="仿宋_GB2312" w:cs="Times New Roman"/>
                <w:i w:val="0"/>
                <w:color w:val="000000"/>
                <w:kern w:val="0"/>
                <w:sz w:val="24"/>
                <w:szCs w:val="24"/>
                <w:u w:val="none"/>
                <w:lang w:val="en-US" w:eastAsia="zh-CN" w:bidi="ar"/>
              </w:rPr>
              <w:t>老年用品供给</w:t>
            </w:r>
          </w:p>
        </w:tc>
        <w:tc>
          <w:tcPr>
            <w:tcW w:w="6866" w:type="dxa"/>
            <w:vAlign w:val="center"/>
          </w:tcPr>
          <w:p>
            <w:pPr>
              <w:pStyle w:val="4"/>
              <w:keepNext w:val="0"/>
              <w:keepLines w:val="0"/>
              <w:widowControl/>
              <w:suppressLineNumbers w:val="0"/>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激发老年产品市场活力，培育发展沙坡头区本土适老化产品市场。发展老年人普惠金融服务，鼓励金融机构推广符合老年人特点的支付、储蓄、理财、信托、保险、基金等养老金融产品，引导商业保险机构加快研究开发适合居家、社区、机构护理等多样化护理产品，积极推进老年人意外伤害保险覆盖范围。依托中卫数据中心集群，推进养老大数据运用，助力康养产业智能化改造和数字化转型。</w:t>
            </w:r>
          </w:p>
        </w:tc>
        <w:tc>
          <w:tcPr>
            <w:tcW w:w="1560" w:type="dxa"/>
            <w:vMerge w:val="continue"/>
            <w:vAlign w:val="top"/>
          </w:tcPr>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tc>
        <w:tc>
          <w:tcPr>
            <w:tcW w:w="1342" w:type="dxa"/>
            <w:vMerge w:val="continue"/>
            <w:vAlign w:val="top"/>
          </w:tcPr>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4" w:hRule="atLeast"/>
        </w:trPr>
        <w:tc>
          <w:tcPr>
            <w:tcW w:w="575" w:type="dxa"/>
            <w:vMerge w:val="continue"/>
            <w:vAlign w:val="center"/>
          </w:tcPr>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tc>
        <w:tc>
          <w:tcPr>
            <w:tcW w:w="2220" w:type="dxa"/>
            <w:vMerge w:val="continue"/>
            <w:vAlign w:val="top"/>
          </w:tcPr>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tc>
        <w:tc>
          <w:tcPr>
            <w:tcW w:w="1707" w:type="dxa"/>
            <w:vAlign w:val="center"/>
          </w:tcPr>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激发老年人潜在消费需求</w:t>
            </w:r>
          </w:p>
        </w:tc>
        <w:tc>
          <w:tcPr>
            <w:tcW w:w="6866" w:type="dxa"/>
            <w:vAlign w:val="center"/>
          </w:tcPr>
          <w:p>
            <w:pPr>
              <w:pStyle w:val="4"/>
              <w:keepNext w:val="0"/>
              <w:keepLines w:val="0"/>
              <w:widowControl/>
              <w:suppressLineNumbers w:val="0"/>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正确引导老年人的消费观念，积极营造良好的老年人消费环境，充分发挥老年人消费对社会经济的重要推动作用。鼓励各大电商平台、零售企业开展“孝老爱老”购物活动，提升老年人生活品质。制定完善老年用品和服务目录、标准、不断提升产品和服务质量，强化健康养老产业标准实施监督管理。</w:t>
            </w:r>
          </w:p>
        </w:tc>
        <w:tc>
          <w:tcPr>
            <w:tcW w:w="1560" w:type="dxa"/>
            <w:vMerge w:val="continue"/>
            <w:vAlign w:val="top"/>
          </w:tcPr>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tc>
        <w:tc>
          <w:tcPr>
            <w:tcW w:w="1342" w:type="dxa"/>
            <w:vMerge w:val="continue"/>
            <w:vAlign w:val="top"/>
          </w:tcPr>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trPr>
        <w:tc>
          <w:tcPr>
            <w:tcW w:w="575" w:type="dxa"/>
            <w:vMerge w:val="restart"/>
            <w:vAlign w:val="center"/>
          </w:tcPr>
          <w:p>
            <w:pPr>
              <w:jc w:val="center"/>
              <w:rPr>
                <w:rFonts w:hint="default" w:ascii="楷体_GB2312" w:hAnsi="楷体_GB2312" w:eastAsia="楷体_GB2312" w:cs="楷体_GB2312"/>
                <w:b/>
                <w:bCs/>
                <w:i w:val="0"/>
                <w:color w:val="000000"/>
                <w:kern w:val="0"/>
                <w:sz w:val="24"/>
                <w:szCs w:val="24"/>
                <w:u w:val="none"/>
                <w:lang w:val="en-US" w:eastAsia="zh-CN" w:bidi="ar"/>
              </w:rPr>
            </w:pPr>
            <w:r>
              <w:rPr>
                <w:rFonts w:hint="eastAsia" w:ascii="楷体_GB2312" w:hAnsi="楷体_GB2312" w:eastAsia="楷体_GB2312" w:cs="楷体_GB2312"/>
                <w:b/>
                <w:bCs/>
                <w:i w:val="0"/>
                <w:color w:val="000000"/>
                <w:kern w:val="0"/>
                <w:sz w:val="24"/>
                <w:szCs w:val="24"/>
                <w:u w:val="none"/>
                <w:lang w:val="en-US" w:eastAsia="zh-CN" w:bidi="ar"/>
              </w:rPr>
              <w:t>四</w:t>
            </w:r>
          </w:p>
        </w:tc>
        <w:tc>
          <w:tcPr>
            <w:tcW w:w="2220" w:type="dxa"/>
            <w:vMerge w:val="restart"/>
            <w:vAlign w:val="top"/>
          </w:tcPr>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r>
              <w:rPr>
                <w:rFonts w:hint="default" w:ascii="楷体_GB2312" w:hAnsi="楷体_GB2312" w:eastAsia="楷体_GB2312" w:cs="楷体_GB2312"/>
                <w:b/>
                <w:bCs/>
                <w:i w:val="0"/>
                <w:color w:val="000000"/>
                <w:kern w:val="0"/>
                <w:sz w:val="24"/>
                <w:szCs w:val="24"/>
                <w:u w:val="none"/>
                <w:lang w:val="en-US" w:eastAsia="zh-CN" w:bidi="ar"/>
              </w:rPr>
              <w:t>培育健康养老新业态融合发展</w:t>
            </w:r>
          </w:p>
        </w:tc>
        <w:tc>
          <w:tcPr>
            <w:tcW w:w="1707" w:type="dxa"/>
            <w:vAlign w:val="top"/>
          </w:tcPr>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创新推进文养结合发展</w:t>
            </w:r>
          </w:p>
        </w:tc>
        <w:tc>
          <w:tcPr>
            <w:tcW w:w="6866" w:type="dxa"/>
            <w:vAlign w:val="center"/>
          </w:tcPr>
          <w:p>
            <w:pPr>
              <w:pStyle w:val="4"/>
              <w:keepNext w:val="0"/>
              <w:keepLines w:val="0"/>
              <w:widowControl/>
              <w:suppressLineNumbers w:val="0"/>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依托社区老年人日间照料中心、老年活动中心等养老服务设施（机构）开展“塞上乐龄学堂”，充分满足老年人快乐学习、终身学习的需求。支持企业和各类社会组织通过网站、手机AAP开发线上学习、互动交流等创新教育产品，支持通过政府购买服务方式发展老年教育。加强老龄宣传教育作品创作与生产，鼓励创作发行老年人喜闻乐见的图书、报刊以及影视剧、戏剧、广播剧等文艺作品。</w:t>
            </w:r>
          </w:p>
        </w:tc>
        <w:tc>
          <w:tcPr>
            <w:tcW w:w="1560" w:type="dxa"/>
            <w:vMerge w:val="restart"/>
            <w:vAlign w:val="top"/>
          </w:tcPr>
          <w:p>
            <w:pPr>
              <w:pStyle w:val="4"/>
              <w:keepNext w:val="0"/>
              <w:keepLines w:val="0"/>
              <w:widowControl/>
              <w:suppressLineNumbers w:val="0"/>
              <w:ind w:firstLine="240" w:firstLineChars="100"/>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区教育局、民社局、旅游和文广电体局、科技局、卫健局、住建局、市场监管分局、发改局、工信和商务局</w:t>
            </w:r>
          </w:p>
        </w:tc>
        <w:tc>
          <w:tcPr>
            <w:tcW w:w="1342" w:type="dxa"/>
            <w:vMerge w:val="restart"/>
            <w:vAlign w:val="top"/>
          </w:tcPr>
          <w:p>
            <w:pPr>
              <w:pStyle w:val="4"/>
              <w:keepNext w:val="0"/>
              <w:keepLines w:val="0"/>
              <w:widowControl/>
              <w:suppressLineNumbers w:val="0"/>
              <w:ind w:firstLine="240" w:firstLineChars="10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ind w:firstLine="240" w:firstLineChars="10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both"/>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w:t>
            </w:r>
            <w:r>
              <w:rPr>
                <w:rFonts w:hint="eastAsia" w:ascii="Times New Roman" w:hAnsi="Times New Roman" w:eastAsia="仿宋_GB2312" w:cs="Times New Roman"/>
                <w:i w:val="0"/>
                <w:color w:val="000000"/>
                <w:kern w:val="0"/>
                <w:sz w:val="24"/>
                <w:szCs w:val="24"/>
                <w:u w:val="none"/>
                <w:lang w:val="en-US" w:eastAsia="zh-CN" w:bidi="ar"/>
              </w:rPr>
              <w:t>7</w:t>
            </w:r>
            <w:r>
              <w:rPr>
                <w:rFonts w:hint="default" w:ascii="Times New Roman" w:hAnsi="Times New Roman" w:eastAsia="仿宋_GB2312" w:cs="Times New Roman"/>
                <w:i w:val="0"/>
                <w:color w:val="000000"/>
                <w:kern w:val="0"/>
                <w:sz w:val="24"/>
                <w:szCs w:val="24"/>
                <w:u w:val="none"/>
                <w:lang w:val="en-US" w:eastAsia="zh-CN" w:bidi="ar"/>
              </w:rPr>
              <w:t>年</w:t>
            </w: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575" w:type="dxa"/>
            <w:vMerge w:val="continue"/>
            <w:vAlign w:val="center"/>
          </w:tcPr>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tc>
        <w:tc>
          <w:tcPr>
            <w:tcW w:w="2220" w:type="dxa"/>
            <w:vMerge w:val="continue"/>
            <w:vAlign w:val="top"/>
          </w:tcPr>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tc>
        <w:tc>
          <w:tcPr>
            <w:tcW w:w="1707" w:type="dxa"/>
            <w:vAlign w:val="center"/>
          </w:tcPr>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深度推进健康运动业高效发展</w:t>
            </w:r>
          </w:p>
        </w:tc>
        <w:tc>
          <w:tcPr>
            <w:tcW w:w="6866" w:type="dxa"/>
            <w:vAlign w:val="center"/>
          </w:tcPr>
          <w:p>
            <w:pPr>
              <w:pStyle w:val="4"/>
              <w:keepNext w:val="0"/>
              <w:keepLines w:val="0"/>
              <w:widowControl/>
              <w:suppressLineNumbers w:val="0"/>
              <w:jc w:val="left"/>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加快老年人健身基础设施扩容升级，支持打造一批“健身休闲综合服务体”、体育公园、体育产业示范项目，创新老年健身休闲运动项目推广普及方式。安装适合老年人健身的健身器材，建立太极拳、慢跑、自行车骑行等协会，举办太极拳、慢跑、广场舞、自行车骑行等全民健身活动。</w:t>
            </w:r>
          </w:p>
        </w:tc>
        <w:tc>
          <w:tcPr>
            <w:tcW w:w="1560" w:type="dxa"/>
            <w:vMerge w:val="continue"/>
            <w:vAlign w:val="top"/>
          </w:tcPr>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tc>
        <w:tc>
          <w:tcPr>
            <w:tcW w:w="1342" w:type="dxa"/>
            <w:vMerge w:val="continue"/>
            <w:vAlign w:val="top"/>
          </w:tcPr>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9" w:hRule="atLeast"/>
        </w:trPr>
        <w:tc>
          <w:tcPr>
            <w:tcW w:w="575" w:type="dxa"/>
            <w:vMerge w:val="continue"/>
            <w:vAlign w:val="center"/>
          </w:tcPr>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tc>
        <w:tc>
          <w:tcPr>
            <w:tcW w:w="2220" w:type="dxa"/>
            <w:vMerge w:val="continue"/>
            <w:vAlign w:val="center"/>
          </w:tcPr>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tc>
        <w:tc>
          <w:tcPr>
            <w:tcW w:w="1707" w:type="dxa"/>
            <w:vAlign w:val="center"/>
          </w:tcPr>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加快推进健康旅游业提质发展</w:t>
            </w:r>
          </w:p>
        </w:tc>
        <w:tc>
          <w:tcPr>
            <w:tcW w:w="6866" w:type="dxa"/>
            <w:vAlign w:val="center"/>
          </w:tcPr>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充分发挥沙坡头区旅游资源优势，促进文旅康养融合发展，开发符合老年人的康养旅居产品。依托“沙坡头区”独特地貌、气候、自然资源与休闲养生、健康管理</w:t>
            </w:r>
            <w:r>
              <w:rPr>
                <w:rFonts w:hint="eastAsia" w:ascii="Times New Roman" w:hAnsi="Times New Roman" w:eastAsia="仿宋_GB2312" w:cs="Times New Roman"/>
                <w:i w:val="0"/>
                <w:color w:val="000000"/>
                <w:kern w:val="0"/>
                <w:sz w:val="24"/>
                <w:szCs w:val="24"/>
                <w:u w:val="none"/>
                <w:lang w:val="en-US" w:eastAsia="zh-CN" w:bidi="ar"/>
              </w:rPr>
              <w:t>相</w:t>
            </w:r>
            <w:r>
              <w:rPr>
                <w:rFonts w:hint="default" w:ascii="Times New Roman" w:hAnsi="Times New Roman" w:eastAsia="仿宋_GB2312" w:cs="Times New Roman"/>
                <w:i w:val="0"/>
                <w:color w:val="000000"/>
                <w:kern w:val="0"/>
                <w:sz w:val="24"/>
                <w:szCs w:val="24"/>
                <w:u w:val="none"/>
                <w:lang w:val="en-US" w:eastAsia="zh-CN" w:bidi="ar"/>
              </w:rPr>
              <w:t>结合，发展培育区候鸟式、休闲式、田园式等适合老年人的旅游新业态。打造一个以休闲养生、健康养老、生态疗养、康养综合体等为核心内容的旅居康养示范基地，加快建设“候鸟式”养老，着力培育产业特色突出、示范效应明显、辐射能力强的健康养老产业。支持社会资本参与旅居康养服务，鼓励支持培训疗养机构、酒店、名宿等升级改造，转型发展旅居康养床位，增加旅居康养服务供给。支持宁夏微元素文化传播有限公司、宁夏腾格里旅游管理中心围绕沙漠水城、大漠星空、旅游康养业态，建设沙漠沙泉空间酒店、沙漠主题度假中心，打造西部具有国际影响力的休闲度假旅游目的地。</w:t>
            </w:r>
          </w:p>
        </w:tc>
        <w:tc>
          <w:tcPr>
            <w:tcW w:w="1560" w:type="dxa"/>
            <w:vMerge w:val="continue"/>
            <w:vAlign w:val="center"/>
          </w:tcPr>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tc>
        <w:tc>
          <w:tcPr>
            <w:tcW w:w="1342" w:type="dxa"/>
            <w:vMerge w:val="continue"/>
            <w:vAlign w:val="center"/>
          </w:tcPr>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9" w:hRule="atLeast"/>
        </w:trPr>
        <w:tc>
          <w:tcPr>
            <w:tcW w:w="575" w:type="dxa"/>
            <w:vMerge w:val="restart"/>
            <w:vAlign w:val="center"/>
          </w:tcPr>
          <w:p>
            <w:pPr>
              <w:jc w:val="center"/>
              <w:rPr>
                <w:rFonts w:hint="default" w:ascii="楷体_GB2312" w:hAnsi="楷体_GB2312" w:eastAsia="楷体_GB2312" w:cs="楷体_GB2312"/>
                <w:b/>
                <w:bCs/>
                <w:i w:val="0"/>
                <w:color w:val="000000"/>
                <w:kern w:val="0"/>
                <w:sz w:val="24"/>
                <w:szCs w:val="24"/>
                <w:u w:val="none"/>
                <w:lang w:val="en-US" w:eastAsia="zh-CN" w:bidi="ar"/>
              </w:rPr>
            </w:pPr>
            <w:r>
              <w:rPr>
                <w:rFonts w:hint="eastAsia" w:ascii="楷体_GB2312" w:hAnsi="楷体_GB2312" w:eastAsia="楷体_GB2312" w:cs="楷体_GB2312"/>
                <w:b/>
                <w:bCs/>
                <w:i w:val="0"/>
                <w:color w:val="000000"/>
                <w:kern w:val="0"/>
                <w:sz w:val="24"/>
                <w:szCs w:val="24"/>
                <w:u w:val="none"/>
                <w:lang w:val="en-US" w:eastAsia="zh-CN" w:bidi="ar"/>
              </w:rPr>
              <w:t>五</w:t>
            </w:r>
          </w:p>
        </w:tc>
        <w:tc>
          <w:tcPr>
            <w:tcW w:w="2220" w:type="dxa"/>
            <w:vMerge w:val="restart"/>
            <w:vAlign w:val="center"/>
          </w:tcPr>
          <w:p>
            <w:pPr>
              <w:jc w:val="center"/>
              <w:rPr>
                <w:rFonts w:hint="default" w:ascii="楷体_GB2312" w:hAnsi="楷体_GB2312" w:eastAsia="楷体_GB2312" w:cs="楷体_GB2312"/>
                <w:b/>
                <w:bCs/>
                <w:i w:val="0"/>
                <w:color w:val="000000"/>
                <w:kern w:val="0"/>
                <w:sz w:val="24"/>
                <w:szCs w:val="24"/>
                <w:u w:val="none"/>
                <w:lang w:val="en-US" w:eastAsia="zh-CN" w:bidi="ar"/>
              </w:rPr>
            </w:pPr>
            <w:r>
              <w:rPr>
                <w:rFonts w:hint="default" w:ascii="楷体_GB2312" w:hAnsi="楷体_GB2312" w:eastAsia="楷体_GB2312" w:cs="楷体_GB2312"/>
                <w:b/>
                <w:bCs/>
                <w:i w:val="0"/>
                <w:color w:val="000000"/>
                <w:kern w:val="0"/>
                <w:sz w:val="24"/>
                <w:szCs w:val="24"/>
                <w:u w:val="none"/>
                <w:lang w:val="en-US" w:eastAsia="zh-CN" w:bidi="ar"/>
              </w:rPr>
              <w:t>构建老年宜居环境</w:t>
            </w:r>
          </w:p>
        </w:tc>
        <w:tc>
          <w:tcPr>
            <w:tcW w:w="1707" w:type="dxa"/>
            <w:vAlign w:val="center"/>
          </w:tcPr>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构建老年友好型居住环境</w:t>
            </w:r>
          </w:p>
        </w:tc>
        <w:tc>
          <w:tcPr>
            <w:tcW w:w="6866" w:type="dxa"/>
            <w:vAlign w:val="center"/>
          </w:tcPr>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充分考虑老年人社会交往、出行便利和日常生活需要，将适老化设施建设纳入城镇老旧小区改造内容，指导有条件的老旧小区在改造同时开展居家适老化改造。尊重居民意愿，通过产业引导、业主众筹等方式，统筹推进适老化设施改造，通过开展场所无障碍改造、有条件的加装电梯等措施，为老年人提供安全、舒适、便利宜居环境。采取政府补贴方式，对所有纳入分散特困供养的失能、高龄、残疾老年人家庭给予最急需的适老化改造、安装紧急救援设施，并逐步将改造对象范围扩大到城乡低保对象中的失能、高龄、残疾老年人家庭。鼓励成年子女与老年父母就近居住或共同生活，支持社会资本投资老年宜居环境建设、老少同居社区、专业化养老社区等更多适合老年人居住的商业住宅产品，加快老年友好型居住环境建设。</w:t>
            </w:r>
          </w:p>
        </w:tc>
        <w:tc>
          <w:tcPr>
            <w:tcW w:w="1560" w:type="dxa"/>
            <w:vMerge w:val="restart"/>
            <w:vAlign w:val="center"/>
          </w:tcPr>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区住建局、发改居、工信和商务局局、民社局、财政局、卫健局、残联</w:t>
            </w:r>
          </w:p>
        </w:tc>
        <w:tc>
          <w:tcPr>
            <w:tcW w:w="1342" w:type="dxa"/>
            <w:vMerge w:val="restart"/>
            <w:vAlign w:val="center"/>
          </w:tcPr>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w:t>
            </w:r>
            <w:r>
              <w:rPr>
                <w:rFonts w:hint="eastAsia" w:ascii="Times New Roman" w:hAnsi="Times New Roman" w:eastAsia="仿宋_GB2312" w:cs="Times New Roman"/>
                <w:i w:val="0"/>
                <w:color w:val="000000"/>
                <w:kern w:val="0"/>
                <w:sz w:val="24"/>
                <w:szCs w:val="24"/>
                <w:u w:val="none"/>
                <w:lang w:val="en-US" w:eastAsia="zh-CN" w:bidi="ar"/>
              </w:rPr>
              <w:t>7</w:t>
            </w:r>
            <w:r>
              <w:rPr>
                <w:rFonts w:hint="default" w:ascii="Times New Roman" w:hAnsi="Times New Roman" w:eastAsia="仿宋_GB2312" w:cs="Times New Roman"/>
                <w:i w:val="0"/>
                <w:color w:val="000000"/>
                <w:kern w:val="0"/>
                <w:sz w:val="24"/>
                <w:szCs w:val="24"/>
                <w:u w:val="none"/>
                <w:lang w:val="en-US" w:eastAsia="zh-CN" w:bidi="ar"/>
              </w:rPr>
              <w:t>年</w:t>
            </w: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trPr>
        <w:tc>
          <w:tcPr>
            <w:tcW w:w="575" w:type="dxa"/>
            <w:vMerge w:val="continue"/>
            <w:vAlign w:val="center"/>
          </w:tcPr>
          <w:p>
            <w:pPr>
              <w:pStyle w:val="4"/>
              <w:keepNext w:val="0"/>
              <w:keepLines w:val="0"/>
              <w:widowControl/>
              <w:suppressLineNumbers w:val="0"/>
              <w:jc w:val="center"/>
              <w:rPr>
                <w:rFonts w:hint="eastAsia" w:ascii="Times New Roman" w:hAnsi="Times New Roman" w:eastAsia="仿宋_GB2312" w:cs="Times New Roman"/>
                <w:i w:val="0"/>
                <w:color w:val="000000"/>
                <w:kern w:val="0"/>
                <w:sz w:val="24"/>
                <w:szCs w:val="24"/>
                <w:u w:val="none"/>
                <w:lang w:val="en-US" w:eastAsia="zh-CN" w:bidi="ar"/>
              </w:rPr>
            </w:pPr>
          </w:p>
        </w:tc>
        <w:tc>
          <w:tcPr>
            <w:tcW w:w="2220" w:type="dxa"/>
            <w:vMerge w:val="continue"/>
            <w:vAlign w:val="center"/>
          </w:tcPr>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tc>
        <w:tc>
          <w:tcPr>
            <w:tcW w:w="1707" w:type="dxa"/>
            <w:vAlign w:val="center"/>
          </w:tcPr>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大力发展养老家政服务</w:t>
            </w:r>
          </w:p>
        </w:tc>
        <w:tc>
          <w:tcPr>
            <w:tcW w:w="6866" w:type="dxa"/>
            <w:vAlign w:val="center"/>
          </w:tcPr>
          <w:p>
            <w:pPr>
              <w:pStyle w:val="4"/>
              <w:keepNext w:val="0"/>
              <w:keepLines w:val="0"/>
              <w:widowControl/>
              <w:suppressLineNumbers w:val="0"/>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深入推进家政服务业提质扩容，实施家政标准化试点、信用体系建设及家政进社区等重点项目。支持家政企业依托“互联网+家政”推动家政服务业与养老、物业、康养等业态融合，促进智慧家政、智慧养老、智慧社区等新业态新模式快速发展。</w:t>
            </w:r>
          </w:p>
        </w:tc>
        <w:tc>
          <w:tcPr>
            <w:tcW w:w="1560" w:type="dxa"/>
            <w:vMerge w:val="continue"/>
            <w:vAlign w:val="center"/>
          </w:tcPr>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tc>
        <w:tc>
          <w:tcPr>
            <w:tcW w:w="1342" w:type="dxa"/>
            <w:vMerge w:val="continue"/>
            <w:vAlign w:val="center"/>
          </w:tcPr>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575" w:type="dxa"/>
            <w:vMerge w:val="restart"/>
            <w:vAlign w:val="center"/>
          </w:tcPr>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both"/>
              <w:rPr>
                <w:rFonts w:hint="eastAsia" w:ascii="楷体_GB2312" w:hAnsi="楷体_GB2312" w:eastAsia="楷体_GB2312" w:cs="楷体_GB2312"/>
                <w:b/>
                <w:bCs/>
                <w:i w:val="0"/>
                <w:color w:val="000000"/>
                <w:kern w:val="0"/>
                <w:sz w:val="24"/>
                <w:szCs w:val="24"/>
                <w:u w:val="none"/>
                <w:lang w:val="en-US" w:eastAsia="zh-CN" w:bidi="ar"/>
              </w:rPr>
            </w:pPr>
            <w:r>
              <w:rPr>
                <w:rFonts w:hint="eastAsia" w:ascii="楷体_GB2312" w:hAnsi="楷体_GB2312" w:eastAsia="楷体_GB2312" w:cs="楷体_GB2312"/>
                <w:b/>
                <w:bCs/>
                <w:i w:val="0"/>
                <w:color w:val="000000"/>
                <w:kern w:val="0"/>
                <w:sz w:val="24"/>
                <w:szCs w:val="24"/>
                <w:u w:val="none"/>
                <w:lang w:val="en-US" w:eastAsia="zh-CN" w:bidi="ar"/>
              </w:rPr>
              <w:t>六</w:t>
            </w: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p>
          <w:p>
            <w:pPr>
              <w:jc w:val="both"/>
              <w:rPr>
                <w:rFonts w:hint="eastAsia" w:ascii="楷体_GB2312" w:hAnsi="楷体_GB2312" w:eastAsia="楷体_GB2312" w:cs="楷体_GB2312"/>
                <w:b/>
                <w:bCs/>
                <w:i w:val="0"/>
                <w:color w:val="000000"/>
                <w:kern w:val="0"/>
                <w:sz w:val="24"/>
                <w:szCs w:val="24"/>
                <w:u w:val="none"/>
                <w:lang w:val="en-US" w:eastAsia="zh-CN" w:bidi="ar"/>
              </w:rPr>
            </w:pPr>
          </w:p>
          <w:p>
            <w:pPr>
              <w:jc w:val="center"/>
              <w:rPr>
                <w:rFonts w:hint="eastAsia" w:ascii="楷体_GB2312" w:hAnsi="楷体_GB2312" w:eastAsia="楷体_GB2312" w:cs="楷体_GB2312"/>
                <w:b/>
                <w:bCs/>
                <w:i w:val="0"/>
                <w:color w:val="000000"/>
                <w:kern w:val="0"/>
                <w:sz w:val="24"/>
                <w:szCs w:val="24"/>
                <w:u w:val="none"/>
                <w:lang w:val="en-US" w:eastAsia="zh-CN" w:bidi="ar"/>
              </w:rPr>
            </w:pPr>
            <w:r>
              <w:rPr>
                <w:rFonts w:hint="eastAsia" w:ascii="楷体_GB2312" w:hAnsi="楷体_GB2312" w:eastAsia="楷体_GB2312" w:cs="楷体_GB2312"/>
                <w:b/>
                <w:bCs/>
                <w:i w:val="0"/>
                <w:color w:val="000000"/>
                <w:kern w:val="0"/>
                <w:sz w:val="24"/>
                <w:szCs w:val="24"/>
                <w:u w:val="none"/>
                <w:lang w:val="en-US" w:eastAsia="zh-CN" w:bidi="ar"/>
              </w:rPr>
              <w:t>六</w:t>
            </w:r>
          </w:p>
        </w:tc>
        <w:tc>
          <w:tcPr>
            <w:tcW w:w="2220" w:type="dxa"/>
            <w:vMerge w:val="restart"/>
            <w:vAlign w:val="center"/>
          </w:tcPr>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both"/>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r>
              <w:rPr>
                <w:rFonts w:hint="default" w:ascii="楷体_GB2312" w:hAnsi="楷体_GB2312" w:eastAsia="楷体_GB2312" w:cs="楷体_GB2312"/>
                <w:b/>
                <w:bCs/>
                <w:i w:val="0"/>
                <w:color w:val="000000"/>
                <w:kern w:val="0"/>
                <w:sz w:val="24"/>
                <w:szCs w:val="24"/>
                <w:u w:val="none"/>
                <w:lang w:val="en-US" w:eastAsia="zh-CN" w:bidi="ar"/>
              </w:rPr>
              <w:t>完善健康养老产业支持环境</w:t>
            </w: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both"/>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p>
          <w:p>
            <w:pPr>
              <w:jc w:val="center"/>
              <w:rPr>
                <w:rFonts w:hint="default" w:ascii="楷体_GB2312" w:hAnsi="楷体_GB2312" w:eastAsia="楷体_GB2312" w:cs="楷体_GB2312"/>
                <w:b/>
                <w:bCs/>
                <w:i w:val="0"/>
                <w:color w:val="000000"/>
                <w:kern w:val="0"/>
                <w:sz w:val="24"/>
                <w:szCs w:val="24"/>
                <w:u w:val="none"/>
                <w:lang w:val="en-US" w:eastAsia="zh-CN" w:bidi="ar"/>
              </w:rPr>
            </w:pPr>
            <w:r>
              <w:rPr>
                <w:rFonts w:hint="default" w:ascii="楷体_GB2312" w:hAnsi="楷体_GB2312" w:eastAsia="楷体_GB2312" w:cs="楷体_GB2312"/>
                <w:b/>
                <w:bCs/>
                <w:i w:val="0"/>
                <w:color w:val="000000"/>
                <w:kern w:val="0"/>
                <w:sz w:val="24"/>
                <w:szCs w:val="24"/>
                <w:u w:val="none"/>
                <w:lang w:val="en-US" w:eastAsia="zh-CN" w:bidi="ar"/>
              </w:rPr>
              <w:t>完善健康养老产业支持环境</w:t>
            </w:r>
          </w:p>
          <w:p>
            <w:pPr>
              <w:jc w:val="center"/>
              <w:rPr>
                <w:rFonts w:hint="default" w:ascii="楷体_GB2312" w:hAnsi="楷体_GB2312" w:eastAsia="楷体_GB2312" w:cs="楷体_GB2312"/>
                <w:b/>
                <w:bCs/>
                <w:i w:val="0"/>
                <w:color w:val="000000"/>
                <w:kern w:val="0"/>
                <w:sz w:val="24"/>
                <w:szCs w:val="24"/>
                <w:u w:val="none"/>
                <w:lang w:val="en-US" w:eastAsia="zh-CN" w:bidi="ar"/>
              </w:rPr>
            </w:pPr>
          </w:p>
        </w:tc>
        <w:tc>
          <w:tcPr>
            <w:tcW w:w="1707" w:type="dxa"/>
            <w:vAlign w:val="center"/>
          </w:tcPr>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健全完善多层次保险</w:t>
            </w:r>
          </w:p>
        </w:tc>
        <w:tc>
          <w:tcPr>
            <w:tcW w:w="6866" w:type="dxa"/>
            <w:vAlign w:val="center"/>
          </w:tcPr>
          <w:p>
            <w:pPr>
              <w:pStyle w:val="4"/>
              <w:keepNext w:val="0"/>
              <w:keepLines w:val="0"/>
              <w:widowControl/>
              <w:suppressLineNumbers w:val="0"/>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推进多层次养老保险体系发展，健全基本养老保险待遇调整机制。加快推广更适合老年人需求的重大疾病保险、医疗保险等险种。扩大民办养老服务机构购买综合责任保险和老年人投保老年人意外伤害保险补贴范围。</w:t>
            </w:r>
          </w:p>
        </w:tc>
        <w:tc>
          <w:tcPr>
            <w:tcW w:w="1560" w:type="dxa"/>
            <w:vMerge w:val="restart"/>
            <w:vAlign w:val="center"/>
          </w:tcPr>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eastAsia"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eastAsia"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eastAsia"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eastAsia"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eastAsia"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区民社局、财政局、医保局、发改局、财政局</w:t>
            </w:r>
          </w:p>
        </w:tc>
        <w:tc>
          <w:tcPr>
            <w:tcW w:w="1342" w:type="dxa"/>
            <w:vMerge w:val="restart"/>
            <w:vAlign w:val="center"/>
          </w:tcPr>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w:t>
            </w:r>
            <w:r>
              <w:rPr>
                <w:rFonts w:hint="eastAsia" w:ascii="Times New Roman" w:hAnsi="Times New Roman" w:eastAsia="仿宋_GB2312" w:cs="Times New Roman"/>
                <w:i w:val="0"/>
                <w:color w:val="000000"/>
                <w:kern w:val="0"/>
                <w:sz w:val="24"/>
                <w:szCs w:val="24"/>
                <w:u w:val="none"/>
                <w:lang w:val="en-US" w:eastAsia="zh-CN" w:bidi="ar"/>
              </w:rPr>
              <w:t>7</w:t>
            </w:r>
            <w:r>
              <w:rPr>
                <w:rFonts w:hint="default" w:ascii="Times New Roman" w:hAnsi="Times New Roman" w:eastAsia="仿宋_GB2312" w:cs="Times New Roman"/>
                <w:i w:val="0"/>
                <w:color w:val="000000"/>
                <w:kern w:val="0"/>
                <w:sz w:val="24"/>
                <w:szCs w:val="24"/>
                <w:u w:val="none"/>
                <w:lang w:val="en-US" w:eastAsia="zh-CN" w:bidi="ar"/>
              </w:rPr>
              <w:t>年</w:t>
            </w: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both"/>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trPr>
        <w:tc>
          <w:tcPr>
            <w:tcW w:w="575" w:type="dxa"/>
            <w:vMerge w:val="continue"/>
            <w:vAlign w:val="center"/>
          </w:tcPr>
          <w:p>
            <w:pPr>
              <w:pStyle w:val="4"/>
              <w:keepNext w:val="0"/>
              <w:keepLines w:val="0"/>
              <w:widowControl/>
              <w:suppressLineNumbers w:val="0"/>
              <w:jc w:val="center"/>
              <w:rPr>
                <w:rFonts w:hint="eastAsia" w:ascii="Times New Roman" w:hAnsi="Times New Roman" w:eastAsia="仿宋_GB2312" w:cs="Times New Roman"/>
                <w:i w:val="0"/>
                <w:color w:val="000000"/>
                <w:kern w:val="0"/>
                <w:sz w:val="24"/>
                <w:szCs w:val="24"/>
                <w:u w:val="none"/>
                <w:lang w:val="en-US" w:eastAsia="zh-CN" w:bidi="ar"/>
              </w:rPr>
            </w:pPr>
          </w:p>
        </w:tc>
        <w:tc>
          <w:tcPr>
            <w:tcW w:w="2220" w:type="dxa"/>
            <w:vMerge w:val="continue"/>
            <w:vAlign w:val="center"/>
          </w:tcPr>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tc>
        <w:tc>
          <w:tcPr>
            <w:tcW w:w="1707" w:type="dxa"/>
            <w:vAlign w:val="center"/>
          </w:tcPr>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完善健康养老金融支持</w:t>
            </w:r>
          </w:p>
        </w:tc>
        <w:tc>
          <w:tcPr>
            <w:tcW w:w="6866" w:type="dxa"/>
            <w:vAlign w:val="center"/>
          </w:tcPr>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做好项目储备，全力争取中央及地方的资金支持。加大财政投入，采取贴息、先建后补、以奖代补等方式，引导支持健康养老产业龙头企业发展和重大项目、示范基地建设。引导政府性融资担保机构，加大对健康养老产业及相关中小微企业支持力度，进一步降低健康养老产业融资成本，吸引各路社会资本参与投资，助力我区健康养老产业做大做强。</w:t>
            </w:r>
          </w:p>
        </w:tc>
        <w:tc>
          <w:tcPr>
            <w:tcW w:w="1560" w:type="dxa"/>
            <w:vMerge w:val="continue"/>
            <w:vAlign w:val="center"/>
          </w:tcPr>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tc>
        <w:tc>
          <w:tcPr>
            <w:tcW w:w="1342" w:type="dxa"/>
            <w:vMerge w:val="continue"/>
            <w:vAlign w:val="center"/>
          </w:tcPr>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8" w:hRule="atLeast"/>
        </w:trPr>
        <w:tc>
          <w:tcPr>
            <w:tcW w:w="575" w:type="dxa"/>
            <w:vMerge w:val="continue"/>
            <w:vAlign w:val="center"/>
          </w:tcPr>
          <w:p>
            <w:pPr>
              <w:pStyle w:val="4"/>
              <w:keepNext w:val="0"/>
              <w:keepLines w:val="0"/>
              <w:widowControl/>
              <w:suppressLineNumbers w:val="0"/>
              <w:jc w:val="center"/>
              <w:rPr>
                <w:rFonts w:hint="eastAsia" w:ascii="Times New Roman" w:hAnsi="Times New Roman" w:eastAsia="仿宋_GB2312" w:cs="Times New Roman"/>
                <w:i w:val="0"/>
                <w:color w:val="000000"/>
                <w:kern w:val="0"/>
                <w:sz w:val="24"/>
                <w:szCs w:val="24"/>
                <w:u w:val="none"/>
                <w:lang w:val="en-US" w:eastAsia="zh-CN" w:bidi="ar"/>
              </w:rPr>
            </w:pPr>
          </w:p>
        </w:tc>
        <w:tc>
          <w:tcPr>
            <w:tcW w:w="2220" w:type="dxa"/>
            <w:vMerge w:val="continue"/>
            <w:vAlign w:val="center"/>
          </w:tcPr>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tc>
        <w:tc>
          <w:tcPr>
            <w:tcW w:w="1707" w:type="dxa"/>
            <w:vAlign w:val="center"/>
          </w:tcPr>
          <w:p>
            <w:pPr>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加强</w:t>
            </w:r>
            <w:r>
              <w:rPr>
                <w:rFonts w:hint="eastAsia" w:ascii="Times New Roman" w:hAnsi="Times New Roman" w:eastAsia="仿宋_GB2312" w:cs="Times New Roman"/>
                <w:i w:val="0"/>
                <w:color w:val="000000"/>
                <w:kern w:val="0"/>
                <w:sz w:val="24"/>
                <w:szCs w:val="24"/>
                <w:u w:val="none"/>
                <w:lang w:val="en-US" w:eastAsia="zh-CN" w:bidi="ar"/>
              </w:rPr>
              <w:t>规划管控实施</w:t>
            </w:r>
          </w:p>
        </w:tc>
        <w:tc>
          <w:tcPr>
            <w:tcW w:w="6866" w:type="dxa"/>
            <w:vAlign w:val="center"/>
          </w:tcPr>
          <w:p>
            <w:pPr>
              <w:pStyle w:val="4"/>
              <w:keepNext w:val="0"/>
              <w:keepLines w:val="0"/>
              <w:widowControl/>
              <w:suppressLineNumbers w:val="0"/>
              <w:jc w:val="both"/>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配合市级部门</w:t>
            </w:r>
            <w:r>
              <w:rPr>
                <w:rFonts w:hint="default" w:ascii="Times New Roman" w:hAnsi="Times New Roman" w:eastAsia="仿宋_GB2312" w:cs="Times New Roman"/>
                <w:i w:val="0"/>
                <w:color w:val="000000"/>
                <w:kern w:val="0"/>
                <w:sz w:val="24"/>
                <w:szCs w:val="24"/>
                <w:u w:val="none"/>
                <w:lang w:val="en-US" w:eastAsia="zh-CN" w:bidi="ar"/>
              </w:rPr>
              <w:t>做好健康养老产业发展与国土空间</w:t>
            </w:r>
            <w:r>
              <w:rPr>
                <w:rFonts w:hint="eastAsia" w:ascii="Times New Roman" w:hAnsi="Times New Roman" w:eastAsia="仿宋_GB2312" w:cs="Times New Roman"/>
                <w:i w:val="0"/>
                <w:color w:val="000000"/>
                <w:kern w:val="0"/>
                <w:sz w:val="24"/>
                <w:szCs w:val="24"/>
                <w:u w:val="none"/>
                <w:lang w:val="en-US" w:eastAsia="zh-CN" w:bidi="ar"/>
              </w:rPr>
              <w:t>总体</w:t>
            </w:r>
            <w:r>
              <w:rPr>
                <w:rFonts w:hint="default" w:ascii="Times New Roman" w:hAnsi="Times New Roman" w:eastAsia="仿宋_GB2312" w:cs="Times New Roman"/>
                <w:i w:val="0"/>
                <w:color w:val="000000"/>
                <w:kern w:val="0"/>
                <w:sz w:val="24"/>
                <w:szCs w:val="24"/>
                <w:u w:val="none"/>
                <w:lang w:val="en-US" w:eastAsia="zh-CN" w:bidi="ar"/>
              </w:rPr>
              <w:t>规划</w:t>
            </w:r>
            <w:r>
              <w:rPr>
                <w:rFonts w:hint="eastAsia" w:ascii="Times New Roman" w:hAnsi="Times New Roman" w:eastAsia="仿宋_GB2312" w:cs="Times New Roman"/>
                <w:i w:val="0"/>
                <w:color w:val="000000"/>
                <w:kern w:val="0"/>
                <w:sz w:val="24"/>
                <w:szCs w:val="24"/>
                <w:u w:val="none"/>
                <w:lang w:val="en-US" w:eastAsia="zh-CN" w:bidi="ar"/>
              </w:rPr>
              <w:t>的联动协调和</w:t>
            </w:r>
            <w:r>
              <w:rPr>
                <w:rFonts w:hint="default" w:ascii="Times New Roman" w:hAnsi="Times New Roman" w:eastAsia="仿宋_GB2312" w:cs="Times New Roman"/>
                <w:i w:val="0"/>
                <w:color w:val="000000"/>
                <w:kern w:val="0"/>
                <w:sz w:val="24"/>
                <w:szCs w:val="24"/>
                <w:u w:val="none"/>
                <w:lang w:val="en-US" w:eastAsia="zh-CN" w:bidi="ar"/>
              </w:rPr>
              <w:t>衔接落实。盘活存量建设用地用于支持健康养老产业发展，探索租赁等方式供地，采取协商收回、鼓励流转、协议置换、收购储备等方式推进用地再开发，促进土地资源集约利用。在不改变土地性质前提下，可采取长期租赁、先租后让、租让结合等方式供地。强化</w:t>
            </w:r>
            <w:r>
              <w:rPr>
                <w:rFonts w:hint="eastAsia" w:ascii="Times New Roman" w:hAnsi="Times New Roman" w:eastAsia="仿宋_GB2312" w:cs="Times New Roman"/>
                <w:i w:val="0"/>
                <w:color w:val="000000"/>
                <w:kern w:val="0"/>
                <w:sz w:val="24"/>
                <w:szCs w:val="24"/>
                <w:u w:val="none"/>
                <w:lang w:val="en-US" w:eastAsia="zh-CN" w:bidi="ar"/>
              </w:rPr>
              <w:t>对</w:t>
            </w:r>
            <w:r>
              <w:rPr>
                <w:rFonts w:hint="default" w:ascii="Times New Roman" w:hAnsi="Times New Roman" w:eastAsia="仿宋_GB2312" w:cs="Times New Roman"/>
                <w:i w:val="0"/>
                <w:color w:val="000000"/>
                <w:kern w:val="0"/>
                <w:sz w:val="24"/>
                <w:szCs w:val="24"/>
                <w:u w:val="none"/>
                <w:lang w:val="en-US" w:eastAsia="zh-CN" w:bidi="ar"/>
              </w:rPr>
              <w:t>养老服务机构用地情况</w:t>
            </w:r>
            <w:r>
              <w:rPr>
                <w:rFonts w:hint="eastAsia" w:ascii="Times New Roman" w:hAnsi="Times New Roman" w:eastAsia="仿宋_GB2312" w:cs="Times New Roman"/>
                <w:i w:val="0"/>
                <w:color w:val="000000"/>
                <w:kern w:val="0"/>
                <w:sz w:val="24"/>
                <w:szCs w:val="24"/>
                <w:u w:val="none"/>
                <w:lang w:val="en-US" w:eastAsia="zh-CN" w:bidi="ar"/>
              </w:rPr>
              <w:t>监管，</w:t>
            </w:r>
            <w:r>
              <w:rPr>
                <w:rFonts w:hint="default" w:ascii="Times New Roman" w:hAnsi="Times New Roman" w:eastAsia="仿宋_GB2312" w:cs="Times New Roman"/>
                <w:i w:val="0"/>
                <w:color w:val="000000"/>
                <w:kern w:val="0"/>
                <w:sz w:val="24"/>
                <w:szCs w:val="24"/>
                <w:u w:val="none"/>
                <w:lang w:val="en-US" w:eastAsia="zh-CN" w:bidi="ar"/>
              </w:rPr>
              <w:t>对违法</w:t>
            </w:r>
            <w:r>
              <w:rPr>
                <w:rFonts w:hint="eastAsia" w:ascii="Times New Roman" w:hAnsi="Times New Roman" w:eastAsia="仿宋_GB2312" w:cs="Times New Roman"/>
                <w:i w:val="0"/>
                <w:color w:val="000000"/>
                <w:kern w:val="0"/>
                <w:sz w:val="24"/>
                <w:szCs w:val="24"/>
                <w:u w:val="none"/>
                <w:lang w:val="en-US" w:eastAsia="zh-CN" w:bidi="ar"/>
              </w:rPr>
              <w:t>用地</w:t>
            </w:r>
            <w:r>
              <w:rPr>
                <w:rFonts w:hint="default" w:ascii="Times New Roman" w:hAnsi="Times New Roman" w:eastAsia="仿宋_GB2312" w:cs="Times New Roman"/>
                <w:i w:val="0"/>
                <w:color w:val="000000"/>
                <w:kern w:val="0"/>
                <w:sz w:val="24"/>
                <w:szCs w:val="24"/>
                <w:u w:val="none"/>
                <w:lang w:val="en-US" w:eastAsia="zh-CN" w:bidi="ar"/>
              </w:rPr>
              <w:t>行为要依法、依规、依约予以</w:t>
            </w:r>
            <w:r>
              <w:rPr>
                <w:rFonts w:hint="eastAsia" w:ascii="Times New Roman" w:hAnsi="Times New Roman" w:eastAsia="仿宋_GB2312" w:cs="Times New Roman"/>
                <w:i w:val="0"/>
                <w:color w:val="000000"/>
                <w:kern w:val="0"/>
                <w:sz w:val="24"/>
                <w:szCs w:val="24"/>
                <w:u w:val="none"/>
                <w:lang w:val="en-US" w:eastAsia="zh-CN" w:bidi="ar"/>
              </w:rPr>
              <w:t>查处</w:t>
            </w:r>
            <w:r>
              <w:rPr>
                <w:rFonts w:hint="default" w:ascii="Times New Roman" w:hAnsi="Times New Roman" w:eastAsia="仿宋_GB2312" w:cs="Times New Roman"/>
                <w:i w:val="0"/>
                <w:color w:val="000000"/>
                <w:kern w:val="0"/>
                <w:sz w:val="24"/>
                <w:szCs w:val="24"/>
                <w:u w:val="none"/>
                <w:lang w:val="en-US" w:eastAsia="zh-CN" w:bidi="ar"/>
              </w:rPr>
              <w:t>。</w:t>
            </w:r>
            <w:bookmarkStart w:id="0" w:name="_GoBack"/>
            <w:bookmarkEnd w:id="0"/>
          </w:p>
        </w:tc>
        <w:tc>
          <w:tcPr>
            <w:tcW w:w="1560" w:type="dxa"/>
            <w:vMerge w:val="restart"/>
            <w:vAlign w:val="center"/>
          </w:tcPr>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eastAsia"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区自然资源局、发改局、民社局、卫健局</w:t>
            </w:r>
          </w:p>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eastAsia"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eastAsia"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区工信和商务局、发改局、民社局、卫健局</w:t>
            </w:r>
          </w:p>
        </w:tc>
        <w:tc>
          <w:tcPr>
            <w:tcW w:w="1342" w:type="dxa"/>
            <w:vMerge w:val="restart"/>
            <w:vAlign w:val="center"/>
          </w:tcPr>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w:t>
            </w:r>
            <w:r>
              <w:rPr>
                <w:rFonts w:hint="eastAsia" w:ascii="Times New Roman" w:hAnsi="Times New Roman" w:eastAsia="仿宋_GB2312" w:cs="Times New Roman"/>
                <w:i w:val="0"/>
                <w:color w:val="000000"/>
                <w:kern w:val="0"/>
                <w:sz w:val="24"/>
                <w:szCs w:val="24"/>
                <w:u w:val="none"/>
                <w:lang w:val="en-US" w:eastAsia="zh-CN" w:bidi="ar"/>
              </w:rPr>
              <w:t>7</w:t>
            </w:r>
            <w:r>
              <w:rPr>
                <w:rFonts w:hint="default" w:ascii="Times New Roman" w:hAnsi="Times New Roman" w:eastAsia="仿宋_GB2312" w:cs="Times New Roman"/>
                <w:i w:val="0"/>
                <w:color w:val="000000"/>
                <w:kern w:val="0"/>
                <w:sz w:val="24"/>
                <w:szCs w:val="24"/>
                <w:u w:val="none"/>
                <w:lang w:val="en-US" w:eastAsia="zh-CN" w:bidi="ar"/>
              </w:rPr>
              <w:t>年</w:t>
            </w: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ind w:firstLine="240" w:firstLineChars="100"/>
              <w:jc w:val="both"/>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2027年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575" w:type="dxa"/>
            <w:vMerge w:val="continue"/>
            <w:vAlign w:val="center"/>
          </w:tcPr>
          <w:p>
            <w:pPr>
              <w:pStyle w:val="4"/>
              <w:keepNext w:val="0"/>
              <w:keepLines w:val="0"/>
              <w:widowControl/>
              <w:suppressLineNumbers w:val="0"/>
              <w:jc w:val="center"/>
              <w:rPr>
                <w:rFonts w:hint="eastAsia" w:ascii="Times New Roman" w:hAnsi="Times New Roman" w:eastAsia="仿宋_GB2312" w:cs="Times New Roman"/>
                <w:i w:val="0"/>
                <w:color w:val="000000"/>
                <w:kern w:val="0"/>
                <w:sz w:val="24"/>
                <w:szCs w:val="24"/>
                <w:u w:val="none"/>
                <w:lang w:val="en-US" w:eastAsia="zh-CN" w:bidi="ar"/>
              </w:rPr>
            </w:pPr>
          </w:p>
        </w:tc>
        <w:tc>
          <w:tcPr>
            <w:tcW w:w="2220" w:type="dxa"/>
            <w:vMerge w:val="continue"/>
            <w:vAlign w:val="center"/>
          </w:tcPr>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tc>
        <w:tc>
          <w:tcPr>
            <w:tcW w:w="1707" w:type="dxa"/>
            <w:vAlign w:val="center"/>
          </w:tcPr>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创新招商引资方式</w:t>
            </w:r>
          </w:p>
        </w:tc>
        <w:tc>
          <w:tcPr>
            <w:tcW w:w="6866" w:type="dxa"/>
            <w:vAlign w:val="center"/>
          </w:tcPr>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把健康养老产业列为沙坡头区招商引资重点产业，加快搭建健康养老产业招商引资平台，策划编制招商引资目录和重点招商引资项目，制定招商路线图，建立招商引资目标企业库，引入国际知名品牌管理公司参与健康养老产业管理。探索实行健康养老产业招商“链长制”，绘制产业地图，探索“会展+产业+投资促进”新模式，大力开展平台招商、中介招商、以会招商、精准招商，推动引资引技引才有机融合。探索建立优秀企业家智囊团模式，为全区健康养老产业链导入、产业发展提供，决策咨询。积极配合自治区、中卫市举办大健康产业论坛、养老服务博览会暨高峰论坛，邀请全国知名专家、企业参展参会，积极搭建起健康养老</w:t>
            </w:r>
            <w:r>
              <w:rPr>
                <w:rFonts w:hint="eastAsia" w:ascii="Times New Roman" w:hAnsi="Times New Roman" w:eastAsia="仿宋_GB2312" w:cs="Times New Roman"/>
                <w:i w:val="0"/>
                <w:color w:val="000000"/>
                <w:kern w:val="0"/>
                <w:sz w:val="24"/>
                <w:szCs w:val="24"/>
                <w:u w:val="none"/>
                <w:lang w:val="en-US" w:eastAsia="zh-CN" w:bidi="ar"/>
              </w:rPr>
              <w:t>产业</w:t>
            </w:r>
            <w:r>
              <w:rPr>
                <w:rFonts w:hint="default" w:ascii="Times New Roman" w:hAnsi="Times New Roman" w:eastAsia="仿宋_GB2312" w:cs="Times New Roman"/>
                <w:i w:val="0"/>
                <w:color w:val="000000"/>
                <w:kern w:val="0"/>
                <w:sz w:val="24"/>
                <w:szCs w:val="24"/>
                <w:u w:val="none"/>
                <w:lang w:val="en-US" w:eastAsia="zh-CN" w:bidi="ar"/>
              </w:rPr>
              <w:t>交流合作、招商引资平台。</w:t>
            </w:r>
          </w:p>
        </w:tc>
        <w:tc>
          <w:tcPr>
            <w:tcW w:w="1560" w:type="dxa"/>
            <w:vMerge w:val="continue"/>
            <w:vAlign w:val="center"/>
          </w:tcPr>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tc>
        <w:tc>
          <w:tcPr>
            <w:tcW w:w="1342" w:type="dxa"/>
            <w:vMerge w:val="continue"/>
            <w:vAlign w:val="center"/>
          </w:tcPr>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575" w:type="dxa"/>
            <w:vMerge w:val="restart"/>
            <w:vAlign w:val="center"/>
          </w:tcPr>
          <w:p>
            <w:pPr>
              <w:pStyle w:val="4"/>
              <w:keepNext w:val="0"/>
              <w:keepLines w:val="0"/>
              <w:widowControl/>
              <w:suppressLineNumbers w:val="0"/>
              <w:jc w:val="center"/>
              <w:rPr>
                <w:rFonts w:hint="default" w:ascii="楷体_GB2312" w:hAnsi="楷体_GB2312" w:eastAsia="楷体_GB2312" w:cs="楷体_GB2312"/>
                <w:b/>
                <w:bCs/>
                <w:i w:val="0"/>
                <w:color w:val="000000"/>
                <w:kern w:val="0"/>
                <w:sz w:val="24"/>
                <w:szCs w:val="24"/>
                <w:u w:val="none"/>
                <w:lang w:val="en-US" w:eastAsia="zh-CN" w:bidi="ar"/>
              </w:rPr>
            </w:pPr>
            <w:r>
              <w:rPr>
                <w:rFonts w:hint="eastAsia" w:ascii="楷体_GB2312" w:hAnsi="楷体_GB2312" w:eastAsia="楷体_GB2312" w:cs="楷体_GB2312"/>
                <w:b/>
                <w:bCs/>
                <w:i w:val="0"/>
                <w:color w:val="000000"/>
                <w:kern w:val="0"/>
                <w:sz w:val="24"/>
                <w:szCs w:val="24"/>
                <w:u w:val="none"/>
                <w:lang w:val="en-US" w:eastAsia="zh-CN" w:bidi="ar"/>
              </w:rPr>
              <w:t>七</w:t>
            </w:r>
          </w:p>
        </w:tc>
        <w:tc>
          <w:tcPr>
            <w:tcW w:w="2220" w:type="dxa"/>
            <w:vMerge w:val="restart"/>
            <w:vAlign w:val="center"/>
          </w:tcPr>
          <w:p>
            <w:pPr>
              <w:pStyle w:val="4"/>
              <w:keepNext w:val="0"/>
              <w:keepLines w:val="0"/>
              <w:widowControl/>
              <w:suppressLineNumbers w:val="0"/>
              <w:jc w:val="center"/>
              <w:rPr>
                <w:rFonts w:hint="eastAsia" w:ascii="楷体_GB2312" w:hAnsi="楷体_GB2312" w:eastAsia="楷体_GB2312" w:cs="楷体_GB2312"/>
                <w:b/>
                <w:bCs/>
                <w:i w:val="0"/>
                <w:color w:val="000000"/>
                <w:kern w:val="0"/>
                <w:sz w:val="24"/>
                <w:szCs w:val="24"/>
                <w:u w:val="none"/>
                <w:lang w:val="en-US" w:eastAsia="zh-CN" w:bidi="ar"/>
              </w:rPr>
            </w:pPr>
            <w:r>
              <w:rPr>
                <w:rFonts w:hint="eastAsia" w:ascii="楷体_GB2312" w:hAnsi="楷体_GB2312" w:eastAsia="楷体_GB2312" w:cs="楷体_GB2312"/>
                <w:b/>
                <w:bCs/>
                <w:i w:val="0"/>
                <w:color w:val="000000"/>
                <w:kern w:val="0"/>
                <w:sz w:val="24"/>
                <w:szCs w:val="24"/>
                <w:u w:val="none"/>
                <w:lang w:val="en-US" w:eastAsia="zh-CN" w:bidi="ar"/>
              </w:rPr>
              <w:t>加强建设健康养老服务人才队伍</w:t>
            </w:r>
          </w:p>
          <w:p>
            <w:pPr>
              <w:pStyle w:val="4"/>
              <w:keepNext w:val="0"/>
              <w:keepLines w:val="0"/>
              <w:widowControl/>
              <w:suppressLineNumbers w:val="0"/>
              <w:jc w:val="center"/>
              <w:rPr>
                <w:rFonts w:hint="default" w:ascii="楷体_GB2312" w:hAnsi="楷体_GB2312" w:eastAsia="楷体_GB2312" w:cs="楷体_GB2312"/>
                <w:b/>
                <w:bCs/>
                <w:i w:val="0"/>
                <w:color w:val="000000"/>
                <w:kern w:val="0"/>
                <w:sz w:val="24"/>
                <w:szCs w:val="24"/>
                <w:u w:val="none"/>
                <w:lang w:val="en-US" w:eastAsia="zh-CN" w:bidi="ar"/>
              </w:rPr>
            </w:pPr>
          </w:p>
        </w:tc>
        <w:tc>
          <w:tcPr>
            <w:tcW w:w="1707" w:type="dxa"/>
            <w:vAlign w:val="center"/>
          </w:tcPr>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全面加强健康养老服务人才引进</w:t>
            </w:r>
          </w:p>
        </w:tc>
        <w:tc>
          <w:tcPr>
            <w:tcW w:w="6866" w:type="dxa"/>
            <w:vAlign w:val="center"/>
          </w:tcPr>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积极引进老年医学、康复、护理、营养、心理和社会工作等方面人才，联合各康养产业人才培训校企、开展产教融合。</w:t>
            </w:r>
          </w:p>
        </w:tc>
        <w:tc>
          <w:tcPr>
            <w:tcW w:w="1560" w:type="dxa"/>
            <w:vMerge w:val="restart"/>
            <w:vAlign w:val="center"/>
          </w:tcPr>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区民社局、卫健局</w:t>
            </w:r>
          </w:p>
        </w:tc>
        <w:tc>
          <w:tcPr>
            <w:tcW w:w="1342" w:type="dxa"/>
            <w:vMerge w:val="restart"/>
            <w:vAlign w:val="center"/>
          </w:tcPr>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202</w:t>
            </w:r>
            <w:r>
              <w:rPr>
                <w:rFonts w:hint="eastAsia" w:ascii="Times New Roman" w:hAnsi="Times New Roman" w:eastAsia="仿宋_GB2312" w:cs="Times New Roman"/>
                <w:i w:val="0"/>
                <w:color w:val="000000"/>
                <w:kern w:val="0"/>
                <w:sz w:val="24"/>
                <w:szCs w:val="24"/>
                <w:u w:val="none"/>
                <w:lang w:val="en-US" w:eastAsia="zh-CN" w:bidi="ar"/>
              </w:rPr>
              <w:t>7</w:t>
            </w:r>
            <w:r>
              <w:rPr>
                <w:rFonts w:hint="default" w:ascii="Times New Roman" w:hAnsi="Times New Roman" w:eastAsia="仿宋_GB2312" w:cs="Times New Roman"/>
                <w:i w:val="0"/>
                <w:color w:val="000000"/>
                <w:kern w:val="0"/>
                <w:sz w:val="24"/>
                <w:szCs w:val="24"/>
                <w:u w:val="none"/>
                <w:lang w:val="en-US" w:eastAsia="zh-CN" w:bidi="ar"/>
              </w:rPr>
              <w:t>年</w:t>
            </w:r>
          </w:p>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75" w:type="dxa"/>
            <w:vMerge w:val="continue"/>
            <w:vAlign w:val="center"/>
          </w:tcPr>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tc>
        <w:tc>
          <w:tcPr>
            <w:tcW w:w="2220" w:type="dxa"/>
            <w:vMerge w:val="continue"/>
            <w:vAlign w:val="center"/>
          </w:tcPr>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tc>
        <w:tc>
          <w:tcPr>
            <w:tcW w:w="1707" w:type="dxa"/>
            <w:vAlign w:val="center"/>
          </w:tcPr>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建立健全养老服务从业人员待遇奖励机制</w:t>
            </w:r>
          </w:p>
        </w:tc>
        <w:tc>
          <w:tcPr>
            <w:tcW w:w="6866" w:type="dxa"/>
            <w:vAlign w:val="center"/>
          </w:tcPr>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落实在职在岗养老服务人员享受相应的持证奖励、岗位提资等待遇，增强养老护理员的职业认同感和荣誉感，推进养老护理员等康养类职业（工种）职业技能等级认定，满足康养行业技能人才需求。</w:t>
            </w:r>
          </w:p>
        </w:tc>
        <w:tc>
          <w:tcPr>
            <w:tcW w:w="1560" w:type="dxa"/>
            <w:vMerge w:val="continue"/>
            <w:vAlign w:val="center"/>
          </w:tcPr>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tc>
        <w:tc>
          <w:tcPr>
            <w:tcW w:w="1342" w:type="dxa"/>
            <w:vMerge w:val="continue"/>
            <w:vAlign w:val="center"/>
          </w:tcPr>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575" w:type="dxa"/>
            <w:vMerge w:val="continue"/>
            <w:vAlign w:val="center"/>
          </w:tcPr>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tc>
        <w:tc>
          <w:tcPr>
            <w:tcW w:w="2220" w:type="dxa"/>
            <w:vMerge w:val="continue"/>
            <w:vAlign w:val="center"/>
          </w:tcPr>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tc>
        <w:tc>
          <w:tcPr>
            <w:tcW w:w="1707" w:type="dxa"/>
            <w:vAlign w:val="center"/>
          </w:tcPr>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引导医务人员从事医养服务</w:t>
            </w:r>
          </w:p>
        </w:tc>
        <w:tc>
          <w:tcPr>
            <w:tcW w:w="6866" w:type="dxa"/>
            <w:vAlign w:val="center"/>
          </w:tcPr>
          <w:p>
            <w:pPr>
              <w:pStyle w:val="4"/>
              <w:keepNext w:val="0"/>
              <w:keepLines w:val="0"/>
              <w:widowControl/>
              <w:suppressLineNumbers w:val="0"/>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开展健康养老发展人才资源盘点，摸清健康养老企业和提供健康养老服务的医疗卫生机构高层次人才现状和急需紧缺专业或人才需求，指导医疗卫生机构根据工作需求，加强老年医学、护理、康复等相关专业人才的聘用。支持医务人员特别是退休返聘且临床经验丰富的护士到提供医养结合服务的医疗卫生机构执业、到提供医养结合服务的养老服务机构开展服务。</w:t>
            </w:r>
          </w:p>
        </w:tc>
        <w:tc>
          <w:tcPr>
            <w:tcW w:w="1560" w:type="dxa"/>
            <w:vMerge w:val="continue"/>
            <w:vAlign w:val="center"/>
          </w:tcPr>
          <w:p>
            <w:pPr>
              <w:pStyle w:val="4"/>
              <w:keepNext w:val="0"/>
              <w:keepLines w:val="0"/>
              <w:widowControl/>
              <w:suppressLineNumbers w:val="0"/>
              <w:rPr>
                <w:rFonts w:hint="default" w:ascii="Times New Roman" w:hAnsi="Times New Roman" w:eastAsia="仿宋_GB2312" w:cs="Times New Roman"/>
                <w:i w:val="0"/>
                <w:color w:val="000000"/>
                <w:kern w:val="0"/>
                <w:sz w:val="24"/>
                <w:szCs w:val="24"/>
                <w:u w:val="none"/>
                <w:lang w:val="en-US" w:eastAsia="zh-CN" w:bidi="ar"/>
              </w:rPr>
            </w:pPr>
          </w:p>
        </w:tc>
        <w:tc>
          <w:tcPr>
            <w:tcW w:w="1342" w:type="dxa"/>
            <w:vMerge w:val="continue"/>
            <w:vAlign w:val="center"/>
          </w:tcPr>
          <w:p>
            <w:pPr>
              <w:pStyle w:val="4"/>
              <w:keepNext w:val="0"/>
              <w:keepLines w:val="0"/>
              <w:widowControl/>
              <w:suppressLineNumbers w:val="0"/>
              <w:jc w:val="center"/>
              <w:rPr>
                <w:rFonts w:hint="default" w:ascii="Times New Roman" w:hAnsi="Times New Roman" w:eastAsia="仿宋_GB2312" w:cs="Times New Roman"/>
                <w:i w:val="0"/>
                <w:color w:val="000000"/>
                <w:kern w:val="0"/>
                <w:sz w:val="24"/>
                <w:szCs w:val="24"/>
                <w:u w:val="none"/>
                <w:lang w:val="en-US" w:eastAsia="zh-CN" w:bidi="ar"/>
              </w:rPr>
            </w:pPr>
          </w:p>
        </w:tc>
      </w:tr>
    </w:tbl>
    <w:p/>
    <w:sectPr>
      <w:footerReference r:id="rId3" w:type="default"/>
      <w:pgSz w:w="16838" w:h="11906" w:orient="landscape"/>
      <w:pgMar w:top="1213" w:right="1800" w:bottom="1213" w:left="1800" w:header="851" w:footer="992" w:gutter="0"/>
      <w:pgNumType w:fmt="decimal" w:start="1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zNzBlNmJhMzdhZGI4MzczNmIxZGJlMDkyZjhhZjEifQ=="/>
  </w:docVars>
  <w:rsids>
    <w:rsidRoot w:val="18C63D1F"/>
    <w:rsid w:val="00C70C81"/>
    <w:rsid w:val="017936BE"/>
    <w:rsid w:val="02B91D02"/>
    <w:rsid w:val="02FF00C8"/>
    <w:rsid w:val="03352921"/>
    <w:rsid w:val="053022E6"/>
    <w:rsid w:val="05FC6982"/>
    <w:rsid w:val="060774EA"/>
    <w:rsid w:val="06A77DDB"/>
    <w:rsid w:val="071579E5"/>
    <w:rsid w:val="08A3773A"/>
    <w:rsid w:val="09075A53"/>
    <w:rsid w:val="09FB5515"/>
    <w:rsid w:val="0BCF6B67"/>
    <w:rsid w:val="0D3606B5"/>
    <w:rsid w:val="0DD71E98"/>
    <w:rsid w:val="0E067065"/>
    <w:rsid w:val="12A32349"/>
    <w:rsid w:val="13031039"/>
    <w:rsid w:val="13936861"/>
    <w:rsid w:val="141251B2"/>
    <w:rsid w:val="14A01236"/>
    <w:rsid w:val="15632263"/>
    <w:rsid w:val="15E6231C"/>
    <w:rsid w:val="16677B31"/>
    <w:rsid w:val="189D783A"/>
    <w:rsid w:val="18A312F5"/>
    <w:rsid w:val="18C63D1F"/>
    <w:rsid w:val="197113F3"/>
    <w:rsid w:val="19D10FF9"/>
    <w:rsid w:val="1A24666C"/>
    <w:rsid w:val="1C4E7894"/>
    <w:rsid w:val="1CA05B4B"/>
    <w:rsid w:val="1CAA49F4"/>
    <w:rsid w:val="1CC54C92"/>
    <w:rsid w:val="1E2E3FC6"/>
    <w:rsid w:val="1E8474D2"/>
    <w:rsid w:val="226C6BFB"/>
    <w:rsid w:val="23B93FAC"/>
    <w:rsid w:val="24130B3C"/>
    <w:rsid w:val="252951AB"/>
    <w:rsid w:val="25551BC9"/>
    <w:rsid w:val="27750300"/>
    <w:rsid w:val="2996578D"/>
    <w:rsid w:val="2C365B84"/>
    <w:rsid w:val="31D73965"/>
    <w:rsid w:val="3307027A"/>
    <w:rsid w:val="34187501"/>
    <w:rsid w:val="35010C50"/>
    <w:rsid w:val="363475D8"/>
    <w:rsid w:val="36592B9B"/>
    <w:rsid w:val="36EF7F3A"/>
    <w:rsid w:val="36F86858"/>
    <w:rsid w:val="386D43D7"/>
    <w:rsid w:val="38714F0C"/>
    <w:rsid w:val="38FB5B89"/>
    <w:rsid w:val="39406294"/>
    <w:rsid w:val="396C7089"/>
    <w:rsid w:val="3AF86E26"/>
    <w:rsid w:val="3B966C58"/>
    <w:rsid w:val="3C192119"/>
    <w:rsid w:val="3C493569"/>
    <w:rsid w:val="3D580050"/>
    <w:rsid w:val="3E063608"/>
    <w:rsid w:val="3EB11F28"/>
    <w:rsid w:val="42F8373B"/>
    <w:rsid w:val="44983428"/>
    <w:rsid w:val="46E5574C"/>
    <w:rsid w:val="4729480B"/>
    <w:rsid w:val="47CB0A33"/>
    <w:rsid w:val="487D4E0F"/>
    <w:rsid w:val="4A8F0E29"/>
    <w:rsid w:val="4AE41175"/>
    <w:rsid w:val="4BFE6267"/>
    <w:rsid w:val="4C59524B"/>
    <w:rsid w:val="4CAD5597"/>
    <w:rsid w:val="4D732CDE"/>
    <w:rsid w:val="4DCD7C9F"/>
    <w:rsid w:val="4F267FDB"/>
    <w:rsid w:val="516E79EA"/>
    <w:rsid w:val="55284354"/>
    <w:rsid w:val="559B68D4"/>
    <w:rsid w:val="56C34335"/>
    <w:rsid w:val="57985F6F"/>
    <w:rsid w:val="58475F34"/>
    <w:rsid w:val="5A4C2893"/>
    <w:rsid w:val="5B2C54AF"/>
    <w:rsid w:val="5B5C08B4"/>
    <w:rsid w:val="5BB24978"/>
    <w:rsid w:val="5C422E4E"/>
    <w:rsid w:val="5E6737F7"/>
    <w:rsid w:val="5FCB6008"/>
    <w:rsid w:val="60A055A5"/>
    <w:rsid w:val="60B116A2"/>
    <w:rsid w:val="61124B7F"/>
    <w:rsid w:val="61492AA0"/>
    <w:rsid w:val="61F877C6"/>
    <w:rsid w:val="62811A62"/>
    <w:rsid w:val="62944DD7"/>
    <w:rsid w:val="632B573B"/>
    <w:rsid w:val="65C63C2C"/>
    <w:rsid w:val="67D971F6"/>
    <w:rsid w:val="68F95994"/>
    <w:rsid w:val="6E82467D"/>
    <w:rsid w:val="71D13952"/>
    <w:rsid w:val="72AC7F1B"/>
    <w:rsid w:val="75DC6B41"/>
    <w:rsid w:val="799A0ACD"/>
    <w:rsid w:val="7A8A0B42"/>
    <w:rsid w:val="7D00333D"/>
    <w:rsid w:val="7E967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5812</Words>
  <Characters>5868</Characters>
  <Lines>0</Lines>
  <Paragraphs>0</Paragraphs>
  <TotalTime>5</TotalTime>
  <ScaleCrop>false</ScaleCrop>
  <LinksUpToDate>false</LinksUpToDate>
  <CharactersWithSpaces>5876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2023-02-03T08:49:00Z</dcterms:created>
  <dc:creator>孔繁银</dc:creator>
  <cp:lastModifiedBy>一粒沙子</cp:lastModifiedBy>
  <cp:lastPrinted>2023-10-18T02:48:12Z</cp:lastPrinted>
  <dcterms:modified xsi:type="dcterms:W3CDTF">2023-10-18T02:51:41Z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8440195DED464B7A89BE159F6154932C_13</vt:lpwstr>
  </property>
</Properties>
</file>