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仿宋_GB2312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ascii="黑体" w:hAnsi="仿宋_GB2312" w:eastAsia="黑体" w:cs="仿宋_GB2312"/>
          <w:sz w:val="32"/>
          <w:szCs w:val="32"/>
        </w:rPr>
        <w:t>2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中卫市</w:t>
      </w:r>
      <w:r>
        <w:rPr>
          <w:rFonts w:hint="eastAsia" w:ascii="黑体" w:hAnsi="黑体" w:eastAsia="黑体" w:cs="黑体"/>
          <w:sz w:val="44"/>
          <w:szCs w:val="44"/>
        </w:rPr>
        <w:t>沙坡头区舞龙技艺培训班</w:t>
      </w:r>
    </w:p>
    <w:p>
      <w:pPr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tbl>
      <w:tblPr>
        <w:tblStyle w:val="3"/>
        <w:tblW w:w="9112" w:type="dxa"/>
        <w:jc w:val="center"/>
        <w:tblInd w:w="-1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8"/>
        <w:gridCol w:w="832"/>
        <w:gridCol w:w="3326"/>
        <w:gridCol w:w="1814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26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14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2019-01-11T08:07:06Z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