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D8799">
      <w:pPr>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eastAsia="zh-CN" w:bidi="ar"/>
        </w:rPr>
        <w:t>附件</w:t>
      </w:r>
      <w:r>
        <w:rPr>
          <w:rFonts w:hint="default" w:ascii="Times New Roman" w:hAnsi="Times New Roman" w:eastAsia="黑体" w:cs="Times New Roman"/>
          <w:color w:val="000000"/>
          <w:kern w:val="0"/>
          <w:sz w:val="32"/>
          <w:szCs w:val="32"/>
          <w:lang w:val="en-US" w:eastAsia="zh-CN" w:bidi="ar"/>
        </w:rPr>
        <w:t>1</w:t>
      </w:r>
    </w:p>
    <w:p w14:paraId="0B9157F0">
      <w:pPr>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color w:val="000000"/>
          <w:kern w:val="0"/>
          <w:sz w:val="32"/>
          <w:szCs w:val="32"/>
          <w:lang w:val="en-US" w:eastAsia="zh-CN" w:bidi="ar"/>
        </w:rPr>
      </w:pPr>
    </w:p>
    <w:p w14:paraId="3A00C306">
      <w:pPr>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color w:val="000000"/>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年度沙坡头区旅游和文化体育广电局</w:t>
      </w:r>
      <w:r>
        <w:rPr>
          <w:rFonts w:hint="eastAsia" w:ascii="方正小标宋_GBK" w:eastAsia="方正小标宋_GBK"/>
          <w:color w:val="000000"/>
          <w:kern w:val="0"/>
          <w:sz w:val="40"/>
          <w:szCs w:val="22"/>
          <w:lang w:eastAsia="zh-CN"/>
        </w:rPr>
        <w:t>部门</w:t>
      </w:r>
      <w:r>
        <w:rPr>
          <w:rFonts w:hint="eastAsia" w:ascii="方正小标宋_GBK" w:eastAsia="方正小标宋_GBK"/>
          <w:color w:val="000000"/>
          <w:kern w:val="0"/>
          <w:sz w:val="40"/>
          <w:szCs w:val="22"/>
        </w:rPr>
        <w:t>随机抽查事项清单</w:t>
      </w:r>
    </w:p>
    <w:bookmarkEnd w:id="0"/>
    <w:tbl>
      <w:tblPr>
        <w:tblStyle w:val="4"/>
        <w:tblW w:w="15446"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145"/>
        <w:gridCol w:w="3806"/>
        <w:gridCol w:w="1125"/>
        <w:gridCol w:w="1245"/>
        <w:gridCol w:w="1140"/>
        <w:gridCol w:w="1590"/>
        <w:gridCol w:w="4905"/>
      </w:tblGrid>
      <w:tr w14:paraId="35BE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490" w:type="dxa"/>
            <w:vMerge w:val="restart"/>
            <w:noWrap w:val="0"/>
            <w:tcMar>
              <w:top w:w="12" w:type="dxa"/>
              <w:left w:w="12" w:type="dxa"/>
              <w:right w:w="12" w:type="dxa"/>
            </w:tcMar>
            <w:vAlign w:val="center"/>
          </w:tcPr>
          <w:p w14:paraId="48CEE9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序号</w:t>
            </w:r>
          </w:p>
        </w:tc>
        <w:tc>
          <w:tcPr>
            <w:tcW w:w="4951" w:type="dxa"/>
            <w:gridSpan w:val="2"/>
            <w:noWrap w:val="0"/>
            <w:tcMar>
              <w:top w:w="12" w:type="dxa"/>
              <w:left w:w="12" w:type="dxa"/>
              <w:right w:w="12" w:type="dxa"/>
            </w:tcMar>
            <w:vAlign w:val="center"/>
          </w:tcPr>
          <w:p w14:paraId="675143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抽查项目</w:t>
            </w:r>
          </w:p>
        </w:tc>
        <w:tc>
          <w:tcPr>
            <w:tcW w:w="1125" w:type="dxa"/>
            <w:vMerge w:val="restart"/>
            <w:noWrap w:val="0"/>
            <w:tcMar>
              <w:top w:w="12" w:type="dxa"/>
              <w:left w:w="12" w:type="dxa"/>
              <w:right w:w="12" w:type="dxa"/>
            </w:tcMar>
            <w:vAlign w:val="center"/>
          </w:tcPr>
          <w:p w14:paraId="1E1BE7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检查对象</w:t>
            </w:r>
          </w:p>
        </w:tc>
        <w:tc>
          <w:tcPr>
            <w:tcW w:w="1245" w:type="dxa"/>
            <w:vMerge w:val="restart"/>
            <w:noWrap w:val="0"/>
            <w:tcMar>
              <w:top w:w="12" w:type="dxa"/>
              <w:left w:w="12" w:type="dxa"/>
              <w:right w:w="12" w:type="dxa"/>
            </w:tcMar>
            <w:vAlign w:val="center"/>
          </w:tcPr>
          <w:p w14:paraId="714082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事项类别</w:t>
            </w:r>
          </w:p>
        </w:tc>
        <w:tc>
          <w:tcPr>
            <w:tcW w:w="1140" w:type="dxa"/>
            <w:vMerge w:val="restart"/>
            <w:noWrap w:val="0"/>
            <w:tcMar>
              <w:top w:w="12" w:type="dxa"/>
              <w:left w:w="12" w:type="dxa"/>
              <w:right w:w="12" w:type="dxa"/>
            </w:tcMar>
            <w:vAlign w:val="center"/>
          </w:tcPr>
          <w:p w14:paraId="20B57A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检查方式</w:t>
            </w:r>
          </w:p>
        </w:tc>
        <w:tc>
          <w:tcPr>
            <w:tcW w:w="1590" w:type="dxa"/>
            <w:vMerge w:val="restart"/>
            <w:noWrap w:val="0"/>
            <w:tcMar>
              <w:top w:w="12" w:type="dxa"/>
              <w:left w:w="12" w:type="dxa"/>
              <w:right w:w="12" w:type="dxa"/>
            </w:tcMar>
            <w:vAlign w:val="center"/>
          </w:tcPr>
          <w:p w14:paraId="320BD0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检查主体</w:t>
            </w:r>
          </w:p>
        </w:tc>
        <w:tc>
          <w:tcPr>
            <w:tcW w:w="4905" w:type="dxa"/>
            <w:vMerge w:val="restart"/>
            <w:noWrap w:val="0"/>
            <w:tcMar>
              <w:top w:w="12" w:type="dxa"/>
              <w:left w:w="12" w:type="dxa"/>
              <w:right w:w="12" w:type="dxa"/>
            </w:tcMar>
            <w:vAlign w:val="center"/>
          </w:tcPr>
          <w:p w14:paraId="18643C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检查依据</w:t>
            </w:r>
          </w:p>
        </w:tc>
      </w:tr>
      <w:tr w14:paraId="2844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490" w:type="dxa"/>
            <w:vMerge w:val="continue"/>
            <w:noWrap w:val="0"/>
            <w:tcMar>
              <w:top w:w="12" w:type="dxa"/>
              <w:left w:w="12" w:type="dxa"/>
              <w:right w:w="12" w:type="dxa"/>
            </w:tcMar>
            <w:vAlign w:val="center"/>
          </w:tcPr>
          <w:p w14:paraId="204ACD01">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仿宋_GB2312" w:cs="Times New Roman"/>
                <w:color w:val="000000"/>
                <w:sz w:val="28"/>
                <w:szCs w:val="28"/>
              </w:rPr>
            </w:pPr>
          </w:p>
        </w:tc>
        <w:tc>
          <w:tcPr>
            <w:tcW w:w="1145" w:type="dxa"/>
            <w:noWrap w:val="0"/>
            <w:tcMar>
              <w:top w:w="12" w:type="dxa"/>
              <w:left w:w="12" w:type="dxa"/>
              <w:right w:w="12" w:type="dxa"/>
            </w:tcMar>
            <w:vAlign w:val="center"/>
          </w:tcPr>
          <w:p w14:paraId="63CA9C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抽查类别</w:t>
            </w:r>
          </w:p>
        </w:tc>
        <w:tc>
          <w:tcPr>
            <w:tcW w:w="3806" w:type="dxa"/>
            <w:noWrap w:val="0"/>
            <w:tcMar>
              <w:top w:w="12" w:type="dxa"/>
              <w:left w:w="12" w:type="dxa"/>
              <w:right w:w="12" w:type="dxa"/>
            </w:tcMar>
            <w:vAlign w:val="center"/>
          </w:tcPr>
          <w:p w14:paraId="137D77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抽查事项</w:t>
            </w:r>
          </w:p>
        </w:tc>
        <w:tc>
          <w:tcPr>
            <w:tcW w:w="1125" w:type="dxa"/>
            <w:vMerge w:val="continue"/>
            <w:noWrap w:val="0"/>
            <w:tcMar>
              <w:top w:w="12" w:type="dxa"/>
              <w:left w:w="12" w:type="dxa"/>
              <w:right w:w="12" w:type="dxa"/>
            </w:tcMar>
            <w:vAlign w:val="center"/>
          </w:tcPr>
          <w:p w14:paraId="2D955733">
            <w:pPr>
              <w:keepNext w:val="0"/>
              <w:keepLines w:val="0"/>
              <w:pageBreakBefore w:val="0"/>
              <w:widowControl/>
              <w:kinsoku/>
              <w:wordWrap/>
              <w:overflowPunct/>
              <w:topLinePunct w:val="0"/>
              <w:autoSpaceDE/>
              <w:autoSpaceDN/>
              <w:bidi w:val="0"/>
              <w:adjustRightInd/>
              <w:snapToGrid/>
              <w:spacing w:line="480" w:lineRule="exact"/>
              <w:jc w:val="left"/>
              <w:rPr>
                <w:rFonts w:hint="default" w:ascii="Times New Roman" w:hAnsi="Times New Roman" w:eastAsia="仿宋_GB2312" w:cs="Times New Roman"/>
                <w:color w:val="000000"/>
                <w:sz w:val="28"/>
                <w:szCs w:val="28"/>
              </w:rPr>
            </w:pPr>
          </w:p>
        </w:tc>
        <w:tc>
          <w:tcPr>
            <w:tcW w:w="1245" w:type="dxa"/>
            <w:vMerge w:val="continue"/>
            <w:noWrap w:val="0"/>
            <w:tcMar>
              <w:top w:w="12" w:type="dxa"/>
              <w:left w:w="12" w:type="dxa"/>
              <w:right w:w="12" w:type="dxa"/>
            </w:tcMar>
            <w:vAlign w:val="center"/>
          </w:tcPr>
          <w:p w14:paraId="79D594E6">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仿宋_GB2312" w:cs="Times New Roman"/>
                <w:color w:val="000000"/>
                <w:sz w:val="28"/>
                <w:szCs w:val="28"/>
              </w:rPr>
            </w:pPr>
          </w:p>
        </w:tc>
        <w:tc>
          <w:tcPr>
            <w:tcW w:w="1140" w:type="dxa"/>
            <w:vMerge w:val="continue"/>
            <w:noWrap w:val="0"/>
            <w:tcMar>
              <w:top w:w="12" w:type="dxa"/>
              <w:left w:w="12" w:type="dxa"/>
              <w:right w:w="12" w:type="dxa"/>
            </w:tcMar>
            <w:vAlign w:val="center"/>
          </w:tcPr>
          <w:p w14:paraId="1B96FBA5">
            <w:pPr>
              <w:keepNext w:val="0"/>
              <w:keepLines w:val="0"/>
              <w:pageBreakBefore w:val="0"/>
              <w:widowControl/>
              <w:kinsoku/>
              <w:wordWrap/>
              <w:overflowPunct/>
              <w:topLinePunct w:val="0"/>
              <w:autoSpaceDE/>
              <w:autoSpaceDN/>
              <w:bidi w:val="0"/>
              <w:adjustRightInd/>
              <w:snapToGrid/>
              <w:spacing w:line="480" w:lineRule="exact"/>
              <w:jc w:val="left"/>
              <w:rPr>
                <w:rFonts w:hint="default" w:ascii="Times New Roman" w:hAnsi="Times New Roman" w:eastAsia="仿宋_GB2312" w:cs="Times New Roman"/>
                <w:color w:val="000000"/>
                <w:sz w:val="28"/>
                <w:szCs w:val="28"/>
              </w:rPr>
            </w:pPr>
          </w:p>
        </w:tc>
        <w:tc>
          <w:tcPr>
            <w:tcW w:w="1590" w:type="dxa"/>
            <w:vMerge w:val="continue"/>
            <w:noWrap w:val="0"/>
            <w:tcMar>
              <w:top w:w="12" w:type="dxa"/>
              <w:left w:w="12" w:type="dxa"/>
              <w:right w:w="12" w:type="dxa"/>
            </w:tcMar>
            <w:vAlign w:val="center"/>
          </w:tcPr>
          <w:p w14:paraId="5BC65C64">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仿宋_GB2312" w:cs="Times New Roman"/>
                <w:color w:val="000000"/>
                <w:sz w:val="28"/>
                <w:szCs w:val="28"/>
              </w:rPr>
            </w:pPr>
          </w:p>
        </w:tc>
        <w:tc>
          <w:tcPr>
            <w:tcW w:w="4905" w:type="dxa"/>
            <w:vMerge w:val="continue"/>
            <w:noWrap w:val="0"/>
            <w:tcMar>
              <w:top w:w="12" w:type="dxa"/>
              <w:left w:w="12" w:type="dxa"/>
              <w:right w:w="12" w:type="dxa"/>
            </w:tcMar>
            <w:vAlign w:val="center"/>
          </w:tcPr>
          <w:p w14:paraId="1B945DD3">
            <w:pPr>
              <w:keepNext w:val="0"/>
              <w:keepLines w:val="0"/>
              <w:pageBreakBefore w:val="0"/>
              <w:widowControl/>
              <w:kinsoku/>
              <w:wordWrap/>
              <w:overflowPunct/>
              <w:topLinePunct w:val="0"/>
              <w:autoSpaceDE/>
              <w:autoSpaceDN/>
              <w:bidi w:val="0"/>
              <w:adjustRightInd/>
              <w:snapToGrid/>
              <w:spacing w:line="480" w:lineRule="exact"/>
              <w:rPr>
                <w:rFonts w:hint="default" w:ascii="Times New Roman" w:hAnsi="Times New Roman" w:eastAsia="仿宋_GB2312" w:cs="Times New Roman"/>
                <w:color w:val="000000"/>
                <w:sz w:val="28"/>
                <w:szCs w:val="28"/>
              </w:rPr>
            </w:pPr>
          </w:p>
        </w:tc>
      </w:tr>
      <w:tr w14:paraId="138E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trPr>
        <w:tc>
          <w:tcPr>
            <w:tcW w:w="490" w:type="dxa"/>
            <w:noWrap w:val="0"/>
            <w:vAlign w:val="center"/>
          </w:tcPr>
          <w:p w14:paraId="0EC138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pacing w:val="-11"/>
                <w:sz w:val="24"/>
                <w:szCs w:val="24"/>
                <w:highlight w:val="none"/>
                <w:shd w:val="clear" w:color="auto" w:fill="auto"/>
                <w:vertAlign w:val="baseline"/>
                <w:lang w:val="en-US" w:eastAsia="zh-CN"/>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1</w:t>
            </w:r>
          </w:p>
        </w:tc>
        <w:tc>
          <w:tcPr>
            <w:tcW w:w="1145" w:type="dxa"/>
            <w:noWrap w:val="0"/>
            <w:vAlign w:val="center"/>
          </w:tcPr>
          <w:p w14:paraId="05E717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z w:val="24"/>
                <w:szCs w:val="24"/>
                <w:highlight w:val="none"/>
                <w:shd w:val="clear" w:color="auto" w:fill="auto"/>
                <w:vertAlign w:val="baseline"/>
                <w:lang w:val="en-US" w:eastAsia="zh-CN"/>
              </w:rPr>
              <w:t>娱乐场所</w:t>
            </w:r>
          </w:p>
        </w:tc>
        <w:tc>
          <w:tcPr>
            <w:tcW w:w="3806" w:type="dxa"/>
            <w:noWrap w:val="0"/>
            <w:vAlign w:val="center"/>
          </w:tcPr>
          <w:p w14:paraId="34A1F5A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color w:val="000000"/>
                <w:kern w:val="0"/>
                <w:sz w:val="24"/>
                <w:szCs w:val="24"/>
                <w:highlight w:val="none"/>
                <w:shd w:val="clear" w:color="auto" w:fill="auto"/>
                <w:lang w:val="en-US" w:eastAsia="zh-CN"/>
              </w:rPr>
              <w:t>歌舞娱乐场所有无营业执照、许可证、曲库等内容含有禁止内容；游戏游艺场所有无赌博性质游戏设备</w:t>
            </w:r>
          </w:p>
        </w:tc>
        <w:tc>
          <w:tcPr>
            <w:tcW w:w="1125" w:type="dxa"/>
            <w:noWrap w:val="0"/>
            <w:vAlign w:val="center"/>
          </w:tcPr>
          <w:p w14:paraId="5B76F0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娱乐场所</w:t>
            </w:r>
          </w:p>
        </w:tc>
        <w:tc>
          <w:tcPr>
            <w:tcW w:w="1245" w:type="dxa"/>
            <w:noWrap w:val="0"/>
            <w:vAlign w:val="center"/>
          </w:tcPr>
          <w:p w14:paraId="1B5609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重点检查     事项</w:t>
            </w:r>
          </w:p>
        </w:tc>
        <w:tc>
          <w:tcPr>
            <w:tcW w:w="1140" w:type="dxa"/>
            <w:noWrap w:val="0"/>
            <w:vAlign w:val="center"/>
          </w:tcPr>
          <w:p w14:paraId="2D1399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现场检查</w:t>
            </w:r>
          </w:p>
        </w:tc>
        <w:tc>
          <w:tcPr>
            <w:tcW w:w="1590" w:type="dxa"/>
            <w:noWrap w:val="0"/>
            <w:vAlign w:val="center"/>
          </w:tcPr>
          <w:p w14:paraId="33A942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7"/>
                <w:sz w:val="24"/>
                <w:szCs w:val="24"/>
                <w:highlight w:val="none"/>
                <w:shd w:val="clear" w:color="auto" w:fill="auto"/>
                <w:vertAlign w:val="baseline"/>
                <w:lang w:val="en-US" w:eastAsia="zh-CN"/>
              </w:rPr>
              <w:t>区旅游和文体广电局</w:t>
            </w:r>
          </w:p>
        </w:tc>
        <w:tc>
          <w:tcPr>
            <w:tcW w:w="4905" w:type="dxa"/>
            <w:noWrap w:val="0"/>
            <w:vAlign w:val="center"/>
          </w:tcPr>
          <w:p w14:paraId="49C9F2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i w:val="0"/>
                <w:color w:val="000000"/>
                <w:kern w:val="0"/>
                <w:sz w:val="24"/>
                <w:szCs w:val="24"/>
                <w:highlight w:val="none"/>
                <w:u w:val="none"/>
                <w:shd w:val="clear" w:color="auto" w:fill="auto"/>
                <w:lang w:val="en-US" w:eastAsia="zh-CN" w:bidi="ar"/>
              </w:rPr>
              <w:t>《娱乐场所管理条例》（2020年修订）第十三条、十四条、十八条、二十三条、《中华人民共和国未成年人保护法》（2021年修订）第五十八条</w:t>
            </w:r>
          </w:p>
        </w:tc>
      </w:tr>
      <w:tr w14:paraId="4467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trPr>
        <w:tc>
          <w:tcPr>
            <w:tcW w:w="490" w:type="dxa"/>
            <w:noWrap w:val="0"/>
            <w:vAlign w:val="center"/>
          </w:tcPr>
          <w:p w14:paraId="629400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pacing w:val="-11"/>
                <w:sz w:val="24"/>
                <w:szCs w:val="24"/>
                <w:highlight w:val="none"/>
                <w:shd w:val="clear" w:color="auto" w:fill="auto"/>
                <w:vertAlign w:val="baseline"/>
                <w:lang w:val="en-US" w:eastAsia="zh-CN"/>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2</w:t>
            </w:r>
          </w:p>
        </w:tc>
        <w:tc>
          <w:tcPr>
            <w:tcW w:w="1145" w:type="dxa"/>
            <w:noWrap w:val="0"/>
            <w:vAlign w:val="center"/>
          </w:tcPr>
          <w:p w14:paraId="78CD77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z w:val="24"/>
                <w:szCs w:val="24"/>
                <w:highlight w:val="none"/>
                <w:shd w:val="clear" w:color="auto" w:fill="auto"/>
                <w:vertAlign w:val="baseline"/>
                <w:lang w:val="en-US" w:eastAsia="zh-CN"/>
              </w:rPr>
              <w:t>网吧</w:t>
            </w:r>
          </w:p>
        </w:tc>
        <w:tc>
          <w:tcPr>
            <w:tcW w:w="3806" w:type="dxa"/>
            <w:noWrap w:val="0"/>
            <w:vAlign w:val="center"/>
          </w:tcPr>
          <w:p w14:paraId="2E20028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有无营业执照、许可证、是否接纳未成年人、未悬挂警示标识、未落实实名登记制度；是否直接接入互联网、是否经营非网络游戏</w:t>
            </w:r>
          </w:p>
        </w:tc>
        <w:tc>
          <w:tcPr>
            <w:tcW w:w="1125" w:type="dxa"/>
            <w:noWrap w:val="0"/>
            <w:vAlign w:val="center"/>
          </w:tcPr>
          <w:p w14:paraId="32C9BC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网吧</w:t>
            </w:r>
          </w:p>
        </w:tc>
        <w:tc>
          <w:tcPr>
            <w:tcW w:w="1245" w:type="dxa"/>
            <w:noWrap w:val="0"/>
            <w:vAlign w:val="center"/>
          </w:tcPr>
          <w:p w14:paraId="416AEF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重点检查     事项</w:t>
            </w:r>
          </w:p>
        </w:tc>
        <w:tc>
          <w:tcPr>
            <w:tcW w:w="1140" w:type="dxa"/>
            <w:noWrap w:val="0"/>
            <w:vAlign w:val="center"/>
          </w:tcPr>
          <w:p w14:paraId="6AF6E9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现场检查</w:t>
            </w:r>
          </w:p>
        </w:tc>
        <w:tc>
          <w:tcPr>
            <w:tcW w:w="1590" w:type="dxa"/>
            <w:noWrap w:val="0"/>
            <w:vAlign w:val="center"/>
          </w:tcPr>
          <w:p w14:paraId="1A6144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17"/>
                <w:sz w:val="24"/>
                <w:szCs w:val="24"/>
                <w:highlight w:val="none"/>
                <w:shd w:val="clear" w:color="auto" w:fill="auto"/>
                <w:vertAlign w:val="baseline"/>
                <w:lang w:val="en-US" w:eastAsia="zh-CN"/>
              </w:rPr>
            </w:pPr>
            <w:r>
              <w:rPr>
                <w:rFonts w:hint="eastAsia" w:ascii="仿宋_GB2312" w:hAnsi="仿宋_GB2312" w:eastAsia="仿宋_GB2312" w:cs="仿宋_GB2312"/>
                <w:b w:val="0"/>
                <w:bCs w:val="0"/>
                <w:spacing w:val="-17"/>
                <w:sz w:val="24"/>
                <w:szCs w:val="24"/>
                <w:highlight w:val="none"/>
                <w:shd w:val="clear" w:color="auto" w:fill="auto"/>
                <w:vertAlign w:val="baseline"/>
                <w:lang w:val="en-US" w:eastAsia="zh-CN"/>
              </w:rPr>
              <w:t>区旅游和文体广电局</w:t>
            </w:r>
          </w:p>
        </w:tc>
        <w:tc>
          <w:tcPr>
            <w:tcW w:w="4905" w:type="dxa"/>
            <w:noWrap w:val="0"/>
            <w:vAlign w:val="center"/>
          </w:tcPr>
          <w:p w14:paraId="0359EC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i w:val="0"/>
                <w:color w:val="000000"/>
                <w:kern w:val="0"/>
                <w:sz w:val="24"/>
                <w:szCs w:val="24"/>
                <w:highlight w:val="none"/>
                <w:u w:val="none"/>
                <w:shd w:val="clear" w:color="auto" w:fill="auto"/>
                <w:lang w:val="en-US" w:eastAsia="zh-CN" w:bidi="ar"/>
              </w:rPr>
              <w:t>《互联网上网服务营业场所管理条例》（2025年国务院令第797号修订）第十四条、十五条、十六条、十七条、十八条、十九条、二十条、二十一条</w:t>
            </w:r>
            <w:r>
              <w:rPr>
                <w:rFonts w:hint="default" w:ascii="仿宋_GB2312" w:hAnsi="仿宋_GB2312" w:eastAsia="仿宋_GB2312" w:cs="仿宋_GB2312"/>
                <w:i w:val="0"/>
                <w:color w:val="000000"/>
                <w:kern w:val="0"/>
                <w:sz w:val="24"/>
                <w:szCs w:val="24"/>
                <w:highlight w:val="none"/>
                <w:u w:val="none"/>
                <w:shd w:val="clear" w:color="auto" w:fill="auto"/>
                <w:lang w:val="en-US" w:eastAsia="zh-CN" w:bidi="ar"/>
              </w:rPr>
              <w:t>，</w:t>
            </w:r>
            <w:r>
              <w:rPr>
                <w:rFonts w:hint="eastAsia" w:ascii="仿宋_GB2312" w:hAnsi="仿宋_GB2312" w:eastAsia="仿宋_GB2312" w:cs="仿宋_GB2312"/>
                <w:i w:val="0"/>
                <w:color w:val="000000"/>
                <w:kern w:val="0"/>
                <w:sz w:val="24"/>
                <w:szCs w:val="24"/>
                <w:highlight w:val="none"/>
                <w:u w:val="none"/>
                <w:shd w:val="clear" w:color="auto" w:fill="auto"/>
                <w:lang w:val="en-US" w:eastAsia="zh-CN" w:bidi="ar"/>
              </w:rPr>
              <w:t>《中华人民共和国未成年人保护法》（2021年修订）第五十八条</w:t>
            </w:r>
          </w:p>
        </w:tc>
      </w:tr>
      <w:tr w14:paraId="4298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atLeast"/>
        </w:trPr>
        <w:tc>
          <w:tcPr>
            <w:tcW w:w="490" w:type="dxa"/>
            <w:noWrap w:val="0"/>
            <w:vAlign w:val="center"/>
          </w:tcPr>
          <w:p w14:paraId="3631D1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pacing w:val="-11"/>
                <w:sz w:val="24"/>
                <w:szCs w:val="24"/>
                <w:highlight w:val="none"/>
                <w:shd w:val="clear" w:color="auto" w:fill="auto"/>
                <w:vertAlign w:val="baseline"/>
                <w:lang w:val="en-US" w:eastAsia="zh-CN"/>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3</w:t>
            </w:r>
          </w:p>
        </w:tc>
        <w:tc>
          <w:tcPr>
            <w:tcW w:w="1145" w:type="dxa"/>
            <w:noWrap w:val="0"/>
            <w:vAlign w:val="center"/>
          </w:tcPr>
          <w:p w14:paraId="2723F1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z w:val="24"/>
                <w:szCs w:val="24"/>
                <w:highlight w:val="none"/>
                <w:shd w:val="clear" w:color="auto" w:fill="auto"/>
                <w:vertAlign w:val="baseline"/>
                <w:lang w:val="en-US" w:eastAsia="zh-CN"/>
              </w:rPr>
              <w:t>营业性演出领域</w:t>
            </w:r>
          </w:p>
        </w:tc>
        <w:tc>
          <w:tcPr>
            <w:tcW w:w="3806" w:type="dxa"/>
            <w:noWrap w:val="0"/>
            <w:vAlign w:val="center"/>
          </w:tcPr>
          <w:p w14:paraId="514B55D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有无营业执照、演出经营许可证；演出节目是否存在低俗、色情、淫秽内容等违法违规行为</w:t>
            </w:r>
          </w:p>
        </w:tc>
        <w:tc>
          <w:tcPr>
            <w:tcW w:w="1125" w:type="dxa"/>
            <w:noWrap w:val="0"/>
            <w:vAlign w:val="center"/>
          </w:tcPr>
          <w:p w14:paraId="5F032A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营业性演出经营单位</w:t>
            </w:r>
          </w:p>
        </w:tc>
        <w:tc>
          <w:tcPr>
            <w:tcW w:w="1245" w:type="dxa"/>
            <w:noWrap w:val="0"/>
            <w:vAlign w:val="center"/>
          </w:tcPr>
          <w:p w14:paraId="754B84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一般检查     事项</w:t>
            </w:r>
          </w:p>
        </w:tc>
        <w:tc>
          <w:tcPr>
            <w:tcW w:w="1140" w:type="dxa"/>
            <w:noWrap w:val="0"/>
            <w:vAlign w:val="center"/>
          </w:tcPr>
          <w:p w14:paraId="39F611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现场检查</w:t>
            </w:r>
          </w:p>
        </w:tc>
        <w:tc>
          <w:tcPr>
            <w:tcW w:w="1590" w:type="dxa"/>
            <w:noWrap w:val="0"/>
            <w:vAlign w:val="center"/>
          </w:tcPr>
          <w:p w14:paraId="64AD11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17"/>
                <w:sz w:val="24"/>
                <w:szCs w:val="24"/>
                <w:highlight w:val="none"/>
                <w:shd w:val="clear" w:color="auto" w:fill="auto"/>
                <w:vertAlign w:val="baseline"/>
                <w:lang w:val="en-US" w:eastAsia="zh-CN"/>
              </w:rPr>
            </w:pPr>
            <w:r>
              <w:rPr>
                <w:rFonts w:hint="eastAsia" w:ascii="仿宋_GB2312" w:hAnsi="仿宋_GB2312" w:eastAsia="仿宋_GB2312" w:cs="仿宋_GB2312"/>
                <w:b w:val="0"/>
                <w:bCs w:val="0"/>
                <w:spacing w:val="-17"/>
                <w:sz w:val="24"/>
                <w:szCs w:val="24"/>
                <w:highlight w:val="none"/>
                <w:shd w:val="clear" w:color="auto" w:fill="auto"/>
                <w:vertAlign w:val="baseline"/>
                <w:lang w:val="en-US" w:eastAsia="zh-CN"/>
              </w:rPr>
              <w:t>区旅游和文体广电局</w:t>
            </w:r>
          </w:p>
        </w:tc>
        <w:tc>
          <w:tcPr>
            <w:tcW w:w="4905" w:type="dxa"/>
            <w:noWrap w:val="0"/>
            <w:vAlign w:val="center"/>
          </w:tcPr>
          <w:p w14:paraId="16B15F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000000"/>
                <w:kern w:val="0"/>
                <w:sz w:val="24"/>
                <w:szCs w:val="24"/>
                <w:highlight w:val="none"/>
                <w:shd w:val="clear" w:color="auto" w:fill="auto"/>
                <w:lang w:val="en-US" w:eastAsia="zh-CN" w:bidi="ar"/>
              </w:rPr>
            </w:pPr>
            <w:r>
              <w:rPr>
                <w:rFonts w:hint="eastAsia" w:ascii="仿宋_GB2312" w:hAnsi="仿宋_GB2312" w:eastAsia="仿宋_GB2312" w:cs="仿宋_GB2312"/>
                <w:i w:val="0"/>
                <w:color w:val="000000"/>
                <w:kern w:val="0"/>
                <w:sz w:val="24"/>
                <w:szCs w:val="24"/>
                <w:highlight w:val="none"/>
                <w:u w:val="none"/>
                <w:shd w:val="clear" w:color="auto" w:fill="auto"/>
                <w:lang w:val="en-US" w:eastAsia="zh-CN" w:bidi="ar"/>
              </w:rPr>
              <w:t>《营业性演出管理条例》（2020年修订）第六条、八条、十条、十一条、十二条、十三条、十四条、十六条、十七条、二十条、二十五条、二十六条、三十一条、三十三条</w:t>
            </w:r>
          </w:p>
        </w:tc>
      </w:tr>
    </w:tbl>
    <w:p w14:paraId="4F3892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sectPr>
          <w:footerReference r:id="rId3" w:type="default"/>
          <w:pgSz w:w="16838" w:h="11906" w:orient="landscape"/>
          <w:pgMar w:top="1440" w:right="1080" w:bottom="1440" w:left="1080" w:header="851" w:footer="1417" w:gutter="0"/>
          <w:pgNumType w:fmt="numberInDash"/>
          <w:cols w:space="720" w:num="1"/>
          <w:docGrid w:type="lines" w:linePitch="312" w:charSpace="0"/>
        </w:sectPr>
      </w:pPr>
    </w:p>
    <w:tbl>
      <w:tblPr>
        <w:tblStyle w:val="4"/>
        <w:tblW w:w="15446"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145"/>
        <w:gridCol w:w="3806"/>
        <w:gridCol w:w="1125"/>
        <w:gridCol w:w="1245"/>
        <w:gridCol w:w="1140"/>
        <w:gridCol w:w="1590"/>
        <w:gridCol w:w="4905"/>
      </w:tblGrid>
      <w:tr w14:paraId="4E30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0" w:hRule="atLeast"/>
        </w:trPr>
        <w:tc>
          <w:tcPr>
            <w:tcW w:w="490" w:type="dxa"/>
            <w:noWrap w:val="0"/>
            <w:vAlign w:val="center"/>
          </w:tcPr>
          <w:p w14:paraId="4C3787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pacing w:val="-11"/>
                <w:sz w:val="24"/>
                <w:szCs w:val="24"/>
                <w:highlight w:val="none"/>
                <w:shd w:val="clear" w:color="auto" w:fill="auto"/>
                <w:vertAlign w:val="baseline"/>
                <w:lang w:val="en-US" w:eastAsia="zh-CN"/>
              </w:rPr>
            </w:pPr>
            <w:r>
              <w:rPr>
                <w:rFonts w:hint="eastAsia" w:ascii="仿宋_GB2312" w:hAnsi="仿宋_GB2312" w:eastAsia="仿宋_GB2312" w:cs="仿宋_GB2312"/>
                <w:b w:val="0"/>
                <w:bCs w:val="0"/>
                <w:spacing w:val="-11"/>
                <w:sz w:val="24"/>
                <w:szCs w:val="24"/>
                <w:highlight w:val="none"/>
                <w:shd w:val="clear" w:color="auto" w:fill="auto"/>
                <w:vertAlign w:val="baseline"/>
                <w:lang w:val="en-US" w:eastAsia="zh-CN"/>
              </w:rPr>
              <w:t>4</w:t>
            </w:r>
          </w:p>
        </w:tc>
        <w:tc>
          <w:tcPr>
            <w:tcW w:w="1145" w:type="dxa"/>
            <w:noWrap w:val="0"/>
            <w:vAlign w:val="center"/>
          </w:tcPr>
          <w:p w14:paraId="434FF9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艺术品经营领域</w:t>
            </w:r>
          </w:p>
        </w:tc>
        <w:tc>
          <w:tcPr>
            <w:tcW w:w="3806" w:type="dxa"/>
            <w:noWrap w:val="0"/>
            <w:vAlign w:val="center"/>
          </w:tcPr>
          <w:p w14:paraId="2706C3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有无营业执照、含有禁止性内容的艺术品等违法违规行为</w:t>
            </w:r>
          </w:p>
        </w:tc>
        <w:tc>
          <w:tcPr>
            <w:tcW w:w="1125" w:type="dxa"/>
            <w:noWrap w:val="0"/>
            <w:vAlign w:val="center"/>
          </w:tcPr>
          <w:p w14:paraId="11AFBC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艺术品经营单位</w:t>
            </w:r>
          </w:p>
        </w:tc>
        <w:tc>
          <w:tcPr>
            <w:tcW w:w="1245" w:type="dxa"/>
            <w:noWrap w:val="0"/>
            <w:vAlign w:val="center"/>
          </w:tcPr>
          <w:p w14:paraId="6F1A47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一般检查事项</w:t>
            </w:r>
          </w:p>
        </w:tc>
        <w:tc>
          <w:tcPr>
            <w:tcW w:w="1140" w:type="dxa"/>
            <w:noWrap w:val="0"/>
            <w:vAlign w:val="center"/>
          </w:tcPr>
          <w:p w14:paraId="6869EE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现场检查</w:t>
            </w:r>
          </w:p>
        </w:tc>
        <w:tc>
          <w:tcPr>
            <w:tcW w:w="1590" w:type="dxa"/>
            <w:noWrap w:val="0"/>
            <w:vAlign w:val="center"/>
          </w:tcPr>
          <w:p w14:paraId="1BCBAE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4905" w:type="dxa"/>
            <w:noWrap w:val="0"/>
            <w:vAlign w:val="center"/>
          </w:tcPr>
          <w:p w14:paraId="3D8E5A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《艺术品经营管理办法》（2016年修订）第五条、六条、七条、八条、九条、十一条、十四条、十五条</w:t>
            </w:r>
          </w:p>
        </w:tc>
      </w:tr>
      <w:tr w14:paraId="3402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490" w:type="dxa"/>
            <w:noWrap w:val="0"/>
            <w:vAlign w:val="center"/>
          </w:tcPr>
          <w:p w14:paraId="0B81E1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5</w:t>
            </w:r>
          </w:p>
        </w:tc>
        <w:tc>
          <w:tcPr>
            <w:tcW w:w="1145" w:type="dxa"/>
            <w:noWrap w:val="0"/>
            <w:vAlign w:val="center"/>
          </w:tcPr>
          <w:p w14:paraId="0E402A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剧本娱乐  场所</w:t>
            </w:r>
          </w:p>
        </w:tc>
        <w:tc>
          <w:tcPr>
            <w:tcW w:w="3806" w:type="dxa"/>
            <w:noWrap w:val="0"/>
            <w:vAlign w:val="center"/>
          </w:tcPr>
          <w:p w14:paraId="0D50968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等剧本娱乐场所有无营业执照、经营范围是否登记为“剧本娱乐活动”；是否按规定向经营场所所在地县级文化和旅游行政部门备案；剧本脚本是否含有法律法规禁止内容、是否设置适龄提示；是否履行安全生产主体责任</w:t>
            </w:r>
          </w:p>
        </w:tc>
        <w:tc>
          <w:tcPr>
            <w:tcW w:w="1125" w:type="dxa"/>
            <w:noWrap w:val="0"/>
            <w:vAlign w:val="center"/>
          </w:tcPr>
          <w:p w14:paraId="72D724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剧本杀、密室逃脱场所</w:t>
            </w:r>
          </w:p>
        </w:tc>
        <w:tc>
          <w:tcPr>
            <w:tcW w:w="1245" w:type="dxa"/>
            <w:noWrap w:val="0"/>
            <w:vAlign w:val="center"/>
          </w:tcPr>
          <w:p w14:paraId="2F2A68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一般检查事项</w:t>
            </w:r>
          </w:p>
        </w:tc>
        <w:tc>
          <w:tcPr>
            <w:tcW w:w="1140" w:type="dxa"/>
            <w:noWrap w:val="0"/>
            <w:vAlign w:val="center"/>
          </w:tcPr>
          <w:p w14:paraId="560A2F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现场检查</w:t>
            </w:r>
          </w:p>
        </w:tc>
        <w:tc>
          <w:tcPr>
            <w:tcW w:w="1590" w:type="dxa"/>
            <w:noWrap w:val="0"/>
            <w:vAlign w:val="center"/>
          </w:tcPr>
          <w:p w14:paraId="3B2FD4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4905" w:type="dxa"/>
            <w:noWrap w:val="0"/>
            <w:vAlign w:val="top"/>
          </w:tcPr>
          <w:p w14:paraId="7C17DA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《中华人民共和国未成年人保护法》第五十八条；《中华人民共和国安全生产法》；《文化和旅游部 区公安分局部 区住建和交通局部 区应急管理局管理部区市场监管分局总局关于加强剧本娱乐经营场所管理的通知》（文旅市场发〔2022〕70号）；《国家消防救援局 文化和旅游部关于印发剧本娱乐经营场所消防安全指南（试行）的通知》（消防〔2023］26号）</w:t>
            </w:r>
          </w:p>
        </w:tc>
      </w:tr>
    </w:tbl>
    <w:p w14:paraId="157723A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3AAF">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C6841"/>
    <w:rsid w:val="3D5C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2025-08-04T09:12:00Z</dcterms:created>
  <dc:creator>娉裊</dc:creator>
  <cp:lastModifiedBy>娉裊</cp:lastModifiedBy>
  <dcterms:modified xsi:type="dcterms:W3CDTF">2025-08-04T09:13:52Z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7273C2F32819441F838EA20868C6E36A_11</vt:lpwstr>
  </property>
  <property fmtid="{D5CDD505-2E9C-101B-9397-08002B2CF9AE}" pid="4" name="KSOTemplateDocerSaveRecord">
    <vt:lpwstr>eyJoZGlkIjoiMmI4OGFkMGQ0NjM1Yzc2MTkyYzcwNmNmYTg2NmRmMDEiLCJ1c2VySWQiOiI0MjU1NTQ1OTYifQ==</vt:lpwstr>
  </property>
</Properties>
</file>