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560" w:lineRule="exact"/>
        <w:jc w:val="left"/>
        <w:textAlignment w:val="center"/>
        <w:rPr>
          <w:rFonts w:hint="default" w:ascii="黑体" w:hAnsi="黑体" w:eastAsia="黑体" w:cs="黑体"/>
          <w:color w:val="000000"/>
          <w:kern w:val="0"/>
          <w:sz w:val="32"/>
          <w:szCs w:val="32"/>
          <w:lang w:val="en-US" w:eastAsia="zh-CN" w:bidi="ar"/>
        </w:rPr>
      </w:pPr>
      <w:r>
        <w:rPr>
          <w:rFonts w:hint="default" w:ascii="黑体" w:hAnsi="黑体" w:eastAsia="黑体" w:cs="黑体"/>
          <w:color w:val="000000"/>
          <w:kern w:val="0"/>
          <w:sz w:val="32"/>
          <w:szCs w:val="32"/>
          <w:lang w:eastAsia="zh-CN" w:bidi="ar"/>
        </w:rPr>
        <w:t>附件</w:t>
      </w:r>
      <w:r>
        <w:rPr>
          <w:rFonts w:hint="eastAsia" w:ascii="黑体" w:hAnsi="黑体" w:eastAsia="黑体" w:cs="黑体"/>
          <w:color w:val="000000"/>
          <w:kern w:val="0"/>
          <w:sz w:val="32"/>
          <w:szCs w:val="32"/>
          <w:lang w:val="en-US" w:eastAsia="zh-CN" w:bidi="ar"/>
        </w:rPr>
        <w:t>4</w:t>
      </w:r>
    </w:p>
    <w:p>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rPr>
      </w:pPr>
    </w:p>
    <w:p>
      <w:pPr>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US" w:eastAsia="zh-CN"/>
        </w:rPr>
        <w:t>4</w:t>
      </w:r>
      <w:r>
        <w:rPr>
          <w:rFonts w:hint="default" w:ascii="方正小标宋简体" w:hAnsi="方正小标宋简体" w:eastAsia="方正小标宋简体" w:cs="方正小标宋简体"/>
          <w:sz w:val="44"/>
          <w:szCs w:val="44"/>
        </w:rPr>
        <w:t>年度沙坡头区旅游和文化体育广电局联合随机抽查事项</w:t>
      </w:r>
      <w:r>
        <w:rPr>
          <w:rFonts w:hint="default" w:ascii="方正小标宋简体" w:hAnsi="方正小标宋简体" w:eastAsia="方正小标宋简体" w:cs="方正小标宋简体"/>
          <w:sz w:val="44"/>
          <w:szCs w:val="44"/>
          <w:lang w:val="en-US" w:eastAsia="zh-CN"/>
        </w:rPr>
        <w:t>工作计划</w:t>
      </w:r>
    </w:p>
    <w:tbl>
      <w:tblPr>
        <w:tblStyle w:val="5"/>
        <w:tblW w:w="14584" w:type="dxa"/>
        <w:jc w:val="center"/>
        <w:tblInd w:w="0" w:type="dxa"/>
        <w:tblLayout w:type="fixed"/>
        <w:tblCellMar>
          <w:top w:w="0" w:type="dxa"/>
          <w:left w:w="0" w:type="dxa"/>
          <w:bottom w:w="0" w:type="dxa"/>
          <w:right w:w="0" w:type="dxa"/>
        </w:tblCellMar>
      </w:tblPr>
      <w:tblGrid>
        <w:gridCol w:w="657"/>
        <w:gridCol w:w="1789"/>
        <w:gridCol w:w="3554"/>
        <w:gridCol w:w="1029"/>
        <w:gridCol w:w="1487"/>
        <w:gridCol w:w="1350"/>
        <w:gridCol w:w="1581"/>
        <w:gridCol w:w="1787"/>
        <w:gridCol w:w="1350"/>
      </w:tblGrid>
      <w:tr>
        <w:tblPrEx>
          <w:tblLayout w:type="fixed"/>
          <w:tblCellMar>
            <w:top w:w="0" w:type="dxa"/>
            <w:left w:w="0" w:type="dxa"/>
            <w:bottom w:w="0" w:type="dxa"/>
            <w:right w:w="0" w:type="dxa"/>
          </w:tblCellMar>
        </w:tblPrEx>
        <w:trPr>
          <w:trHeight w:val="895" w:hRule="atLeast"/>
          <w:jc w:val="center"/>
        </w:trPr>
        <w:tc>
          <w:tcPr>
            <w:tcW w:w="6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序号</w:t>
            </w:r>
          </w:p>
        </w:tc>
        <w:tc>
          <w:tcPr>
            <w:tcW w:w="17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抽查任务名称</w:t>
            </w:r>
          </w:p>
        </w:tc>
        <w:tc>
          <w:tcPr>
            <w:tcW w:w="355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抽查事项</w:t>
            </w:r>
          </w:p>
        </w:tc>
        <w:tc>
          <w:tcPr>
            <w:tcW w:w="10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抽查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比例</w:t>
            </w:r>
          </w:p>
        </w:tc>
        <w:tc>
          <w:tcPr>
            <w:tcW w:w="14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检查对象</w:t>
            </w:r>
          </w:p>
        </w:tc>
        <w:tc>
          <w:tcPr>
            <w:tcW w:w="13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抽查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类型</w:t>
            </w:r>
          </w:p>
        </w:tc>
        <w:tc>
          <w:tcPr>
            <w:tcW w:w="15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组织抽查单位</w:t>
            </w:r>
          </w:p>
        </w:tc>
        <w:tc>
          <w:tcPr>
            <w:tcW w:w="17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联合检查参与单位</w:t>
            </w:r>
          </w:p>
        </w:tc>
        <w:tc>
          <w:tcPr>
            <w:tcW w:w="13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完成时限</w:t>
            </w:r>
          </w:p>
        </w:tc>
      </w:tr>
      <w:tr>
        <w:tblPrEx>
          <w:tblLayout w:type="fixed"/>
          <w:tblCellMar>
            <w:top w:w="0" w:type="dxa"/>
            <w:left w:w="0" w:type="dxa"/>
            <w:bottom w:w="0" w:type="dxa"/>
            <w:right w:w="0" w:type="dxa"/>
          </w:tblCellMar>
        </w:tblPrEx>
        <w:trPr>
          <w:trHeight w:val="1335" w:hRule="atLeast"/>
          <w:jc w:val="center"/>
        </w:trPr>
        <w:tc>
          <w:tcPr>
            <w:tcW w:w="6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1</w:t>
            </w:r>
          </w:p>
        </w:tc>
        <w:tc>
          <w:tcPr>
            <w:tcW w:w="17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娱乐场所</w:t>
            </w:r>
          </w:p>
        </w:tc>
        <w:tc>
          <w:tcPr>
            <w:tcW w:w="355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歌舞娱乐场所有无营业执照、许可证、接纳未成年人、曲库含有禁止内容；游戏游艺场所有无赌博性质游戏设备</w:t>
            </w:r>
          </w:p>
        </w:tc>
        <w:tc>
          <w:tcPr>
            <w:tcW w:w="10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10%</w:t>
            </w:r>
          </w:p>
        </w:tc>
        <w:tc>
          <w:tcPr>
            <w:tcW w:w="14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娱乐场所</w:t>
            </w:r>
          </w:p>
        </w:tc>
        <w:tc>
          <w:tcPr>
            <w:tcW w:w="13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现场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检查</w:t>
            </w:r>
          </w:p>
        </w:tc>
        <w:tc>
          <w:tcPr>
            <w:tcW w:w="15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17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区公安分局、区市场监管分局、区消防救援大队</w:t>
            </w:r>
          </w:p>
        </w:tc>
        <w:tc>
          <w:tcPr>
            <w:tcW w:w="13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2024年10月</w:t>
            </w:r>
          </w:p>
        </w:tc>
      </w:tr>
      <w:tr>
        <w:tblPrEx>
          <w:tblLayout w:type="fixed"/>
          <w:tblCellMar>
            <w:top w:w="0" w:type="dxa"/>
            <w:left w:w="0" w:type="dxa"/>
            <w:bottom w:w="0" w:type="dxa"/>
            <w:right w:w="0" w:type="dxa"/>
          </w:tblCellMar>
        </w:tblPrEx>
        <w:trPr>
          <w:trHeight w:val="990" w:hRule="atLeast"/>
          <w:jc w:val="center"/>
        </w:trPr>
        <w:tc>
          <w:tcPr>
            <w:tcW w:w="6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w:t>
            </w:r>
          </w:p>
        </w:tc>
        <w:tc>
          <w:tcPr>
            <w:tcW w:w="17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网吧</w:t>
            </w:r>
          </w:p>
        </w:tc>
        <w:tc>
          <w:tcPr>
            <w:tcW w:w="355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有无营业执照、许可证、接纳未成年人、未悬挂警示标识、未落实实名登记制度</w:t>
            </w:r>
          </w:p>
        </w:tc>
        <w:tc>
          <w:tcPr>
            <w:tcW w:w="10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10%</w:t>
            </w:r>
          </w:p>
        </w:tc>
        <w:tc>
          <w:tcPr>
            <w:tcW w:w="14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网吧</w:t>
            </w:r>
          </w:p>
        </w:tc>
        <w:tc>
          <w:tcPr>
            <w:tcW w:w="13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现场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检查</w:t>
            </w:r>
          </w:p>
        </w:tc>
        <w:tc>
          <w:tcPr>
            <w:tcW w:w="15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17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区公安分局、区市场监管分局、区消防救援大队</w:t>
            </w:r>
          </w:p>
        </w:tc>
        <w:tc>
          <w:tcPr>
            <w:tcW w:w="13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2024年10月</w:t>
            </w:r>
          </w:p>
        </w:tc>
      </w:tr>
      <w:tr>
        <w:tblPrEx>
          <w:tblLayout w:type="fixed"/>
          <w:tblCellMar>
            <w:top w:w="0" w:type="dxa"/>
            <w:left w:w="0" w:type="dxa"/>
            <w:bottom w:w="0" w:type="dxa"/>
            <w:right w:w="0" w:type="dxa"/>
          </w:tblCellMar>
        </w:tblPrEx>
        <w:trPr>
          <w:trHeight w:val="1005" w:hRule="atLeast"/>
          <w:jc w:val="center"/>
        </w:trPr>
        <w:tc>
          <w:tcPr>
            <w:tcW w:w="65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3</w:t>
            </w:r>
          </w:p>
        </w:tc>
        <w:tc>
          <w:tcPr>
            <w:tcW w:w="178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营业性演出领域</w:t>
            </w:r>
          </w:p>
        </w:tc>
        <w:tc>
          <w:tcPr>
            <w:tcW w:w="355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有无营业执照、演出经营许可证；演出节目是否存在低俗、庸俗、媚俗内容等违法违规行为</w:t>
            </w:r>
          </w:p>
        </w:tc>
        <w:tc>
          <w:tcPr>
            <w:tcW w:w="102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30%</w:t>
            </w:r>
          </w:p>
        </w:tc>
        <w:tc>
          <w:tcPr>
            <w:tcW w:w="14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娱乐场所</w:t>
            </w:r>
          </w:p>
        </w:tc>
        <w:tc>
          <w:tcPr>
            <w:tcW w:w="13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现场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检查</w:t>
            </w:r>
          </w:p>
        </w:tc>
        <w:tc>
          <w:tcPr>
            <w:tcW w:w="158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17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区公安分局、区市场监管分局、区消防救援大队</w:t>
            </w:r>
          </w:p>
        </w:tc>
        <w:tc>
          <w:tcPr>
            <w:tcW w:w="135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2024年10月</w:t>
            </w:r>
          </w:p>
        </w:tc>
      </w:tr>
      <w:tr>
        <w:tblPrEx>
          <w:tblLayout w:type="fixed"/>
          <w:tblCellMar>
            <w:top w:w="0" w:type="dxa"/>
            <w:left w:w="0" w:type="dxa"/>
            <w:bottom w:w="0" w:type="dxa"/>
            <w:right w:w="0" w:type="dxa"/>
          </w:tblCellMar>
        </w:tblPrEx>
        <w:trPr>
          <w:trHeight w:val="855" w:hRule="atLeast"/>
          <w:jc w:val="center"/>
        </w:trPr>
        <w:tc>
          <w:tcPr>
            <w:tcW w:w="657"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4</w:t>
            </w:r>
          </w:p>
        </w:tc>
        <w:tc>
          <w:tcPr>
            <w:tcW w:w="1789"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剧本娱乐场所</w:t>
            </w:r>
          </w:p>
        </w:tc>
        <w:tc>
          <w:tcPr>
            <w:tcW w:w="3554"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剧本杀、密室逃脱等剧本娱乐场所有无营业执照，经营范围是否登记为“剧本娱乐活动”；是否按规定向经营场所所在地县级文化和旅游行政部门备案；是否含有法律法规禁止的内容；剧本脚本是否设置适龄提示；是否明码标价，有无侵害消费者合法权益等违法违规行为；是否履行安全生产主体责</w:t>
            </w:r>
          </w:p>
        </w:tc>
        <w:tc>
          <w:tcPr>
            <w:tcW w:w="1029"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1%</w:t>
            </w:r>
          </w:p>
        </w:tc>
        <w:tc>
          <w:tcPr>
            <w:tcW w:w="1487"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剧本杀、密室逃脱场所</w:t>
            </w:r>
          </w:p>
        </w:tc>
        <w:tc>
          <w:tcPr>
            <w:tcW w:w="1350"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现场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检查</w:t>
            </w:r>
          </w:p>
        </w:tc>
        <w:tc>
          <w:tcPr>
            <w:tcW w:w="1581"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1787"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区公安分局、区市场监管分局、区</w:t>
            </w:r>
            <w:bookmarkStart w:id="0" w:name="_GoBack"/>
            <w:bookmarkEnd w:id="0"/>
            <w:r>
              <w:rPr>
                <w:rFonts w:hint="eastAsia" w:ascii="仿宋_GB2312" w:hAnsi="仿宋_GB2312" w:eastAsia="仿宋_GB2312" w:cs="仿宋_GB2312"/>
                <w:color w:val="000000"/>
                <w:kern w:val="0"/>
                <w:sz w:val="24"/>
                <w:szCs w:val="24"/>
                <w:highlight w:val="none"/>
                <w:shd w:val="clear" w:color="auto" w:fill="auto"/>
                <w:lang w:val="en-US" w:eastAsia="zh-CN"/>
              </w:rPr>
              <w:t>消防救援大队</w:t>
            </w:r>
          </w:p>
        </w:tc>
        <w:tc>
          <w:tcPr>
            <w:tcW w:w="1350" w:type="dxa"/>
            <w:tcBorders>
              <w:top w:val="single" w:color="000000" w:sz="4" w:space="0"/>
              <w:left w:val="single" w:color="000000" w:sz="4" w:space="0"/>
              <w:bottom w:val="single" w:color="auto" w:sz="4" w:space="0"/>
              <w:right w:val="single" w:color="000000"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2024年10月</w:t>
            </w:r>
          </w:p>
        </w:tc>
      </w:tr>
      <w:tr>
        <w:tblPrEx>
          <w:tblLayout w:type="fixed"/>
          <w:tblCellMar>
            <w:top w:w="0" w:type="dxa"/>
            <w:left w:w="0" w:type="dxa"/>
            <w:bottom w:w="0" w:type="dxa"/>
            <w:right w:w="0" w:type="dxa"/>
          </w:tblCellMar>
        </w:tblPrEx>
        <w:trPr>
          <w:trHeight w:val="4285" w:hRule="atLeast"/>
          <w:jc w:val="center"/>
        </w:trPr>
        <w:tc>
          <w:tcPr>
            <w:tcW w:w="65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5</w:t>
            </w:r>
          </w:p>
        </w:tc>
        <w:tc>
          <w:tcPr>
            <w:tcW w:w="1789"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射击竞技体育运动单位枪支管理抽查</w:t>
            </w:r>
          </w:p>
        </w:tc>
        <w:tc>
          <w:tcPr>
            <w:tcW w:w="3554"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对射击竞技体育运动单位枪支管理安全的抽查</w:t>
            </w:r>
            <w:r>
              <w:rPr>
                <w:rFonts w:hint="eastAsia" w:ascii="仿宋_GB2312" w:hAnsi="仿宋_GB2312" w:eastAsia="仿宋_GB2312" w:cs="仿宋_GB2312"/>
                <w:color w:val="000000"/>
                <w:kern w:val="0"/>
                <w:sz w:val="24"/>
                <w:szCs w:val="24"/>
                <w:highlight w:val="none"/>
                <w:shd w:val="clear" w:color="auto" w:fill="auto"/>
                <w:lang w:val="en-US" w:eastAsia="zh-CN"/>
              </w:rPr>
              <w:t>，</w:t>
            </w:r>
            <w:r>
              <w:rPr>
                <w:rFonts w:hint="default" w:ascii="仿宋_GB2312" w:hAnsi="仿宋_GB2312" w:eastAsia="仿宋_GB2312" w:cs="仿宋_GB2312"/>
                <w:color w:val="000000"/>
                <w:kern w:val="0"/>
                <w:sz w:val="24"/>
                <w:szCs w:val="24"/>
                <w:highlight w:val="none"/>
                <w:shd w:val="clear" w:color="auto" w:fill="auto"/>
                <w:lang w:val="en-US" w:eastAsia="zh-CN"/>
              </w:rPr>
              <w:t>有无许可证；电竞酒店每间电竞房的床位数是否超过6张，计算机数量和入住人员是否超过床位数；有无未成年人进入专业电竞酒店和非专业电竞酒店的电竞房区域；有无在专业电竞酒店入口处、非专业电竞酒店电竞房区域入口处的显著位置悬挂未成年人禁入标志；是否落实实名登记及“五必须”规定；是否设置禁止未成年人登录计算机、消费时长提示等功能；是否安装图像采集设备</w:t>
            </w:r>
          </w:p>
        </w:tc>
        <w:tc>
          <w:tcPr>
            <w:tcW w:w="1029"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1%</w:t>
            </w:r>
          </w:p>
        </w:tc>
        <w:tc>
          <w:tcPr>
            <w:tcW w:w="148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kern w:val="0"/>
                <w:sz w:val="24"/>
                <w:szCs w:val="24"/>
                <w:highlight w:val="none"/>
                <w:shd w:val="clear" w:color="auto" w:fill="auto"/>
                <w:lang w:val="en-US" w:eastAsia="zh-CN"/>
              </w:rPr>
            </w:pPr>
            <w:r>
              <w:rPr>
                <w:rFonts w:hint="default" w:ascii="仿宋_GB2312" w:hAnsi="仿宋_GB2312" w:eastAsia="仿宋_GB2312" w:cs="仿宋_GB2312"/>
                <w:color w:val="000000"/>
                <w:kern w:val="0"/>
                <w:sz w:val="24"/>
                <w:szCs w:val="24"/>
                <w:highlight w:val="none"/>
                <w:shd w:val="clear" w:color="auto" w:fill="auto"/>
                <w:lang w:val="en-US" w:eastAsia="zh-CN"/>
              </w:rPr>
              <w:t>射击竞技体育运动单位</w:t>
            </w:r>
          </w:p>
        </w:tc>
        <w:tc>
          <w:tcPr>
            <w:tcW w:w="135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现场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检查</w:t>
            </w:r>
          </w:p>
        </w:tc>
        <w:tc>
          <w:tcPr>
            <w:tcW w:w="1581"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区旅游和文体广电局</w:t>
            </w:r>
          </w:p>
        </w:tc>
        <w:tc>
          <w:tcPr>
            <w:tcW w:w="178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区公安分局</w:t>
            </w:r>
          </w:p>
        </w:tc>
        <w:tc>
          <w:tcPr>
            <w:tcW w:w="135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shd w:val="clear" w:color="auto" w:fill="auto"/>
                <w:lang w:val="en-US" w:eastAsia="zh-CN"/>
              </w:rPr>
            </w:pPr>
            <w:r>
              <w:rPr>
                <w:rFonts w:hint="eastAsia" w:ascii="仿宋_GB2312" w:hAnsi="仿宋_GB2312" w:eastAsia="仿宋_GB2312" w:cs="仿宋_GB2312"/>
                <w:color w:val="000000"/>
                <w:kern w:val="0"/>
                <w:sz w:val="24"/>
                <w:szCs w:val="24"/>
                <w:highlight w:val="none"/>
                <w:shd w:val="clear" w:color="auto" w:fill="auto"/>
                <w:lang w:val="en-US" w:eastAsia="zh-CN"/>
              </w:rPr>
              <w:t>2024年10月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MzEwOWNkZTdhZjM4NmZkZTJjY2FiODllZmUxZDgifQ=="/>
  </w:docVars>
  <w:rsids>
    <w:rsidRoot w:val="300C494B"/>
    <w:rsid w:val="146F2AB7"/>
    <w:rsid w:val="195B78E7"/>
    <w:rsid w:val="300C494B"/>
    <w:rsid w:val="4BA965F2"/>
    <w:rsid w:val="5A374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765</Words>
  <Characters>796</Characters>
  <Lines>0</Lines>
  <Paragraphs>0</Paragraphs>
  <TotalTime>0</TotalTime>
  <ScaleCrop>false</ScaleCrop>
  <LinksUpToDate>false</LinksUpToDate>
  <CharactersWithSpaces>798</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2024-10-25T01:20:00Z</dcterms:created>
  <dc:creator>娉裊</dc:creator>
  <cp:lastModifiedBy>Administrator</cp:lastModifiedBy>
  <dcterms:modified xsi:type="dcterms:W3CDTF">2024-10-25T09:07:01Z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AB0751910C9F4FC49941DFFE4FE28085_11</vt:lpwstr>
  </property>
</Properties>
</file>