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附件10：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“送戏下乡”惠民文艺演出统计表</w:t>
      </w:r>
    </w:p>
    <w:p>
      <w:pPr>
        <w:widowControl/>
        <w:spacing w:before="156" w:beforeLines="50" w:line="600" w:lineRule="exact"/>
        <w:ind w:left="-283" w:leftChars="-135" w:right="-315" w:rightChars="-15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填报单位（盖章）：                                           填报时间：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年  月  日</w:t>
      </w:r>
    </w:p>
    <w:tbl>
      <w:tblPr>
        <w:tblStyle w:val="4"/>
        <w:tblW w:w="144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1"/>
        <w:gridCol w:w="1543"/>
        <w:gridCol w:w="1577"/>
        <w:gridCol w:w="1451"/>
        <w:gridCol w:w="1577"/>
        <w:gridCol w:w="1483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文艺团体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送戏进乡村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送戏进社区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送戏进企业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送戏进军营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送戏进景区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戏曲进校园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（场次）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演出场次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小计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观看群众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0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4"/>
        </w:rPr>
        <w:t>备注：请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24"/>
        </w:rPr>
        <w:t>分别于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6月20日、</w:t>
      </w:r>
      <w:r>
        <w:rPr>
          <w:rFonts w:hint="default" w:ascii="Times New Roman" w:hAnsi="Times New Roman" w:eastAsia="仿宋_GB2312" w:cs="Times New Roman"/>
          <w:sz w:val="24"/>
        </w:rPr>
        <w:t>9月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</w:rPr>
        <w:t>日、1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</w:rPr>
        <w:t>日前，填写此表报至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旅游和文化体育广电局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3D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2023-05-15T09:36:38Z</dcterms:created>
  <dc:creator>DELL</dc:creator>
  <cp:lastModifiedBy>小小邊缘人°</cp:lastModifiedBy>
  <dcterms:modified xsi:type="dcterms:W3CDTF">2023-05-15T09:37:06Z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572630DDF00649DF9743C0F7E1B9826E_12</vt:lpwstr>
  </property>
</Properties>
</file>