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中卫市沙坡头</w:t>
      </w:r>
      <w:r>
        <w:rPr>
          <w:rFonts w:hint="eastAsia" w:ascii="方正小标宋_GBK" w:hAnsi="方正小标宋_GBK" w:eastAsia="方正小标宋_GBK" w:cs="方正小标宋_GBK"/>
          <w:sz w:val="44"/>
          <w:szCs w:val="44"/>
          <w:lang w:val="en-US" w:eastAsia="zh-CN"/>
        </w:rPr>
        <w:t>区科学技术</w:t>
      </w:r>
      <w:r>
        <w:rPr>
          <w:rFonts w:hint="eastAsia" w:ascii="方正小标宋_GBK" w:hAnsi="方正小标宋_GBK" w:eastAsia="方正小标宋_GBK" w:cs="方正小标宋_GBK"/>
          <w:sz w:val="44"/>
          <w:szCs w:val="44"/>
          <w:lang w:eastAsia="zh-CN"/>
        </w:rPr>
        <w:t>局</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行政执法主体资格</w:t>
      </w:r>
      <w:r>
        <w:rPr>
          <w:rFonts w:hint="eastAsia" w:ascii="方正小标宋_GBK" w:hAnsi="方正小标宋_GBK" w:eastAsia="方正小标宋_GBK" w:cs="方正小标宋_GBK"/>
          <w:sz w:val="44"/>
          <w:szCs w:val="44"/>
          <w:lang w:eastAsia="zh-CN"/>
        </w:rPr>
        <w:t>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8"/>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921"/>
        <w:gridCol w:w="349"/>
        <w:gridCol w:w="161"/>
        <w:gridCol w:w="645"/>
        <w:gridCol w:w="604"/>
        <w:gridCol w:w="71"/>
        <w:gridCol w:w="750"/>
        <w:gridCol w:w="589"/>
        <w:gridCol w:w="71"/>
        <w:gridCol w:w="750"/>
        <w:gridCol w:w="218"/>
        <w:gridCol w:w="427"/>
        <w:gridCol w:w="461"/>
        <w:gridCol w:w="51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680" w:type="dxa"/>
            <w:gridSpan w:val="5"/>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eastAsia="zh-CN"/>
              </w:rPr>
              <w:t>中卫市沙坡头</w:t>
            </w:r>
            <w:r>
              <w:rPr>
                <w:rFonts w:hint="eastAsia" w:ascii="仿宋_GB2312" w:hAnsi="仿宋_GB2312" w:eastAsia="仿宋_GB2312" w:cs="仿宋_GB2312"/>
                <w:kern w:val="0"/>
                <w:sz w:val="20"/>
                <w:szCs w:val="21"/>
                <w:lang w:val="en-US" w:eastAsia="zh-CN"/>
              </w:rPr>
              <w:t>区科学技术局</w:t>
            </w:r>
          </w:p>
        </w:tc>
        <w:tc>
          <w:tcPr>
            <w:tcW w:w="1410" w:type="dxa"/>
            <w:gridSpan w:val="3"/>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3011" w:type="dxa"/>
            <w:gridSpan w:val="7"/>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中央西大道60号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680" w:type="dxa"/>
            <w:gridSpan w:val="5"/>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张永生</w:t>
            </w:r>
          </w:p>
        </w:tc>
        <w:tc>
          <w:tcPr>
            <w:tcW w:w="1410" w:type="dxa"/>
            <w:gridSpan w:val="3"/>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3011" w:type="dxa"/>
            <w:gridSpan w:val="7"/>
            <w:vAlign w:val="center"/>
          </w:tcPr>
          <w:p>
            <w:pPr>
              <w:keepNext w:val="0"/>
              <w:keepLines w:val="0"/>
              <w:widowControl/>
              <w:suppressLineNumbers w:val="0"/>
              <w:jc w:val="center"/>
              <w:rPr>
                <w:rFonts w:hint="default" w:ascii="仿宋_GB2312" w:hAnsi="仿宋_GB2312" w:eastAsia="仿宋_GB2312" w:cs="仿宋_GB2312"/>
                <w:kern w:val="0"/>
                <w:sz w:val="20"/>
                <w:szCs w:val="21"/>
                <w:lang w:val="en-US" w:eastAsia="zh-CN"/>
              </w:rPr>
            </w:pPr>
            <w:r>
              <w:rPr>
                <w:rFonts w:hint="default" w:ascii="仿宋_GB2312" w:hAnsi="仿宋_GB2312" w:eastAsia="仿宋_GB2312" w:cs="仿宋_GB2312"/>
                <w:kern w:val="0"/>
                <w:sz w:val="20"/>
                <w:szCs w:val="21"/>
                <w:lang w:val="en-US" w:eastAsia="zh-CN"/>
              </w:rPr>
              <w:t>11642300MB1959942L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101" w:type="dxa"/>
            <w:gridSpan w:val="15"/>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 xml:space="preserve">（一）贯彻落实国家、自治区和中卫市创新驱动发展战略方针，拟订沙坡头区创新驱动战略及科技发展规划、计划，并组织实施。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（二）统筹推进沙坡头区科技创新体系建设和科技体制改革，会同有关部门健全技术创新激励机制，推动企业科技创新能力建设。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（三）建立健全沙坡头区科技管理平台和科研项目资金协调、评估、监管机制。会同有关部门提出优化配置科技资源的政策措施建议，推动多元化的科技投入体系建设，组织实施财政科技计划。</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四）贯彻落实国家、自治区和中卫市基础研究规划、政策和标准，组织实施沙坡头区基础研究和应用基础研究。拟定沙坡头区科技创新基地建设规划并组织实施，参与编制科技基础设施建设规划，推进重点实验室等科技平台建设，推动科研条件保障和科技资源开放共享。</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（五）组织拟订沙坡头区高新技术发展及产业化、科技促进农业农村和社会发展的规划、政策措施。组织开展重点领域技术发展需求分析，提出重大任务并组织实施，牵头组织重大技术攻关和应用示范。</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（六）负责沙坡头区科技成果转移转化工作，拟订科技成果转移转化和促进产学研结合的相关政策措施，并监督实施。指导科技服务业、技术市场和科技中介组织发展。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（七）负责沙坡头区创新发展、科技资源合理布局和协同创新能力建设，推动科技园区发展建设。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（八）拟订对外科技交流与科技创新能力开放合作的规划和政策措施，组织开展科技合作与科技人才交流。</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lang w:val="en-US" w:eastAsia="zh-CN"/>
              </w:rPr>
            </w:pPr>
            <w:r>
              <w:rPr>
                <w:rFonts w:hint="eastAsia" w:ascii="Times New Roman" w:hAnsi="Times New Roman" w:eastAsia="仿宋_GB2312"/>
                <w:szCs w:val="32"/>
              </w:rPr>
              <w:t>（九）会同有关部门拟订科技人才队伍建设规划和政策措施，建立健全科技人才评价和激励机制，组织实施科技人才计划，推动科技创新人才队伍建设。</w:t>
            </w:r>
            <w:r>
              <w:rPr>
                <w:rFonts w:hint="eastAsia" w:ascii="Times New Roman" w:hAnsi="Times New Roman" w:eastAsia="仿宋_GB2312"/>
                <w:szCs w:val="32"/>
                <w:lang w:val="en-US" w:eastAsia="zh-CN"/>
              </w:rPr>
              <w:t>负责沙坡头区科技普及、科学传播、科技保密工作。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（十）按规定承担自治区科学技术奖、六盘山友谊奖及自然科学基金申报有关工作。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Cs w:val="32"/>
              </w:rPr>
            </w:pPr>
            <w:r>
              <w:rPr>
                <w:rFonts w:hint="eastAsia" w:ascii="Times New Roman" w:hAnsi="Times New Roman" w:eastAsia="仿宋_GB2312"/>
                <w:szCs w:val="32"/>
              </w:rPr>
              <w:t>（十一）完成沙坡头区委和政府交办的其他任务。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ascii="Times New Roman" w:hAnsi="Times New Roman" w:eastAsia="仿宋_GB2312"/>
                <w:szCs w:val="32"/>
              </w:rPr>
              <w:t>（十二）职能转变。围绕贯彻实施科教兴国战略、人才强国战略、创新驱动发展战略以及自治区、市及沙坡头区创新驱动战略，加强、优化、转变政府科技管理和服务职能，完善科技创新制度和组织体系，加强宏观管理和统筹协调，减少微观管理和具体审批事项，加强事中事后监管和科研诚信建设。从研发管理向创新服务转变，着力推进科技计划管理改革，优化科技资源配置。进一步改进科技人才评价机制，建立健全以创新能力、质量、贡献、绩效为导向的科技人才评价体系和激励政策，统筹科技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70" w:type="dxa"/>
            <w:vMerge w:val="restart"/>
            <w:tcBorders>
              <w:right w:val="single" w:color="auto" w:sz="4" w:space="0"/>
            </w:tcBorders>
            <w:vAlign w:val="center"/>
          </w:tcPr>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hint="eastAsia" w:ascii="仿宋_GB2312" w:hAnsi="仿宋_GB2312" w:eastAsia="仿宋_GB2312" w:cs="仿宋_GB2312"/>
                <w:kern w:val="0"/>
                <w:sz w:val="20"/>
                <w:szCs w:val="21"/>
              </w:rPr>
            </w:pPr>
          </w:p>
          <w:p>
            <w:pPr>
              <w:pStyle w:val="2"/>
              <w:rPr>
                <w:rFonts w:hint="eastAsia" w:ascii="仿宋_GB2312" w:hAnsi="仿宋_GB2312" w:eastAsia="仿宋_GB2312" w:cs="仿宋_GB2312"/>
                <w:kern w:val="0"/>
                <w:sz w:val="20"/>
                <w:szCs w:val="21"/>
              </w:rPr>
            </w:pPr>
          </w:p>
          <w:p>
            <w:pPr>
              <w:pStyle w:val="3"/>
              <w:rPr>
                <w:rFonts w:hint="eastAsia" w:ascii="仿宋_GB2312" w:hAnsi="仿宋_GB2312" w:eastAsia="仿宋_GB2312" w:cs="仿宋_GB2312"/>
                <w:kern w:val="0"/>
                <w:sz w:val="20"/>
                <w:szCs w:val="21"/>
              </w:rPr>
            </w:pPr>
          </w:p>
          <w:p>
            <w:pPr>
              <w:rPr>
                <w:rFonts w:hint="eastAsia" w:ascii="仿宋_GB2312" w:hAnsi="仿宋_GB2312" w:eastAsia="仿宋_GB2312" w:cs="仿宋_GB2312"/>
                <w:kern w:val="0"/>
                <w:sz w:val="20"/>
                <w:szCs w:val="21"/>
              </w:rPr>
            </w:pPr>
          </w:p>
          <w:p>
            <w:pPr>
              <w:pStyle w:val="2"/>
              <w:rPr>
                <w:rFonts w:hint="eastAsia" w:ascii="仿宋_GB2312" w:hAnsi="仿宋_GB2312" w:eastAsia="仿宋_GB2312" w:cs="仿宋_GB2312"/>
                <w:kern w:val="0"/>
                <w:sz w:val="20"/>
                <w:szCs w:val="21"/>
              </w:rPr>
            </w:pPr>
          </w:p>
          <w:p>
            <w:pPr>
              <w:pStyle w:val="3"/>
              <w:rPr>
                <w:rFonts w:hint="eastAsia" w:ascii="仿宋_GB2312" w:hAnsi="仿宋_GB2312" w:eastAsia="仿宋_GB2312" w:cs="仿宋_GB2312"/>
                <w:kern w:val="0"/>
                <w:sz w:val="20"/>
                <w:szCs w:val="21"/>
              </w:rPr>
            </w:pPr>
          </w:p>
          <w:p>
            <w:pPr>
              <w:rPr>
                <w:rFonts w:hint="eastAsia" w:ascii="仿宋_GB2312" w:hAnsi="仿宋_GB2312" w:eastAsia="仿宋_GB2312" w:cs="仿宋_GB2312"/>
                <w:kern w:val="0"/>
                <w:sz w:val="20"/>
                <w:szCs w:val="21"/>
              </w:rPr>
            </w:pPr>
          </w:p>
          <w:p>
            <w:pPr>
              <w:pStyle w:val="2"/>
              <w:rPr>
                <w:rFonts w:hint="eastAsia" w:ascii="仿宋_GB2312" w:hAnsi="仿宋_GB2312" w:eastAsia="仿宋_GB2312" w:cs="仿宋_GB2312"/>
                <w:kern w:val="0"/>
                <w:sz w:val="20"/>
                <w:szCs w:val="21"/>
              </w:rPr>
            </w:pPr>
          </w:p>
          <w:p>
            <w:pPr>
              <w:pStyle w:val="3"/>
              <w:rPr>
                <w:rFonts w:hint="eastAsia" w:ascii="仿宋_GB2312" w:hAnsi="仿宋_GB2312" w:eastAsia="仿宋_GB2312" w:cs="仿宋_GB2312"/>
                <w:kern w:val="0"/>
                <w:sz w:val="20"/>
                <w:szCs w:val="21"/>
              </w:rPr>
            </w:pPr>
          </w:p>
          <w:p>
            <w:pPr>
              <w:rPr>
                <w:rFonts w:hint="eastAsia" w:ascii="仿宋_GB2312" w:hAnsi="仿宋_GB2312" w:eastAsia="仿宋_GB2312" w:cs="仿宋_GB2312"/>
                <w:kern w:val="0"/>
                <w:sz w:val="20"/>
                <w:szCs w:val="21"/>
              </w:rPr>
            </w:pPr>
          </w:p>
          <w:p>
            <w:pPr>
              <w:pStyle w:val="2"/>
              <w:rPr>
                <w:rFonts w:hint="eastAsia"/>
              </w:rPr>
            </w:pPr>
          </w:p>
          <w:p>
            <w:pPr>
              <w:spacing w:line="0" w:lineRule="atLeast"/>
              <w:jc w:val="center"/>
              <w:rPr>
                <w:rFonts w:hint="eastAsia" w:ascii="仿宋_GB2312" w:hAnsi="仿宋_GB2312" w:eastAsia="仿宋_GB2312" w:cs="仿宋_GB2312"/>
                <w:kern w:val="0"/>
                <w:sz w:val="20"/>
                <w:szCs w:val="21"/>
              </w:rPr>
            </w:pP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270"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3859" w:type="dxa"/>
            <w:gridSpan w:val="9"/>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88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1084"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jc w:val="center"/>
        </w:trPr>
        <w:tc>
          <w:tcPr>
            <w:tcW w:w="1670"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270" w:type="dxa"/>
            <w:gridSpan w:val="2"/>
            <w:tcBorders>
              <w:left w:val="single" w:color="auto" w:sz="4" w:space="0"/>
            </w:tcBorders>
            <w:vAlign w:val="center"/>
          </w:tcPr>
          <w:p>
            <w:pPr>
              <w:spacing w:line="0" w:lineRule="atLeast"/>
              <w:jc w:val="both"/>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办公室</w:t>
            </w:r>
          </w:p>
        </w:tc>
        <w:tc>
          <w:tcPr>
            <w:tcW w:w="3859"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pPr>
            <w:r>
              <w:rPr>
                <w:rFonts w:hint="eastAsia" w:ascii="Times New Roman" w:hAnsi="Times New Roman" w:eastAsia="仿宋_GB2312"/>
                <w:szCs w:val="32"/>
              </w:rPr>
              <w:t>负责机关日常运转工作；负责机关文电、会务、机要、人事、保密、档案、信访、信息化建设、国有资产管理、对外交流和后勤保障等工作；负责党建、党风廉政建设、精神文明建设、意识形态、</w:t>
            </w:r>
            <w:r>
              <w:rPr>
                <w:rFonts w:hint="eastAsia" w:ascii="Times New Roman" w:hAnsi="Times New Roman" w:eastAsia="仿宋_GB2312"/>
                <w:szCs w:val="32"/>
                <w:lang w:val="en-US" w:eastAsia="zh-CN"/>
              </w:rPr>
              <w:t>党务政务公开、网信管理、</w:t>
            </w:r>
            <w:r>
              <w:rPr>
                <w:rFonts w:hint="eastAsia" w:ascii="Times New Roman" w:hAnsi="Times New Roman" w:eastAsia="仿宋_GB2312"/>
                <w:szCs w:val="32"/>
              </w:rPr>
              <w:t>社会治安综合治理、普法</w:t>
            </w:r>
            <w:r>
              <w:rPr>
                <w:rFonts w:hint="eastAsia" w:ascii="Times New Roman" w:hAnsi="Times New Roman" w:eastAsia="仿宋_GB2312"/>
                <w:szCs w:val="32"/>
                <w:lang w:eastAsia="zh-CN"/>
              </w:rPr>
              <w:t>、</w:t>
            </w:r>
            <w:r>
              <w:rPr>
                <w:rFonts w:hint="eastAsia" w:ascii="Times New Roman" w:hAnsi="Times New Roman" w:eastAsia="仿宋_GB2312"/>
                <w:szCs w:val="32"/>
                <w:lang w:val="en-US" w:eastAsia="zh-CN"/>
              </w:rPr>
              <w:t>法制建设、民族团结、双创工作（创城、创卫）</w:t>
            </w:r>
            <w:r>
              <w:rPr>
                <w:rFonts w:hint="eastAsia" w:ascii="Times New Roman" w:hAnsi="Times New Roman" w:eastAsia="仿宋_GB2312"/>
                <w:szCs w:val="32"/>
              </w:rPr>
              <w:t>等工作；牵头负责人大建议、政协提案办理工作；负责组织重大科技调研、科技决策咨询活动；负责科学普及、科学传播、科技信息</w:t>
            </w:r>
            <w:r>
              <w:rPr>
                <w:rFonts w:hint="eastAsia" w:ascii="Times New Roman" w:hAnsi="Times New Roman" w:eastAsia="仿宋_GB2312"/>
                <w:szCs w:val="32"/>
                <w:lang w:val="en-US" w:eastAsia="zh-CN"/>
              </w:rPr>
              <w:t>报道</w:t>
            </w:r>
            <w:r>
              <w:rPr>
                <w:rFonts w:hint="eastAsia" w:ascii="Times New Roman" w:hAnsi="Times New Roman" w:eastAsia="仿宋_GB2312"/>
                <w:szCs w:val="32"/>
              </w:rPr>
              <w:t>和科技宣传工作；统筹科技人才工作。</w:t>
            </w:r>
          </w:p>
        </w:tc>
        <w:tc>
          <w:tcPr>
            <w:tcW w:w="888"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景梅玲</w:t>
            </w:r>
          </w:p>
        </w:tc>
        <w:tc>
          <w:tcPr>
            <w:tcW w:w="1084"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5" w:hRule="atLeast"/>
          <w:jc w:val="center"/>
        </w:trPr>
        <w:tc>
          <w:tcPr>
            <w:tcW w:w="1670"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270" w:type="dxa"/>
            <w:gridSpan w:val="2"/>
            <w:vAlign w:val="center"/>
          </w:tcPr>
          <w:p>
            <w:pPr>
              <w:spacing w:line="0" w:lineRule="atLeast"/>
              <w:jc w:val="both"/>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农业与社会发展科技办公室</w:t>
            </w:r>
          </w:p>
        </w:tc>
        <w:tc>
          <w:tcPr>
            <w:tcW w:w="3859"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18"/>
                <w:szCs w:val="18"/>
                <w:highlight w:val="yellow"/>
                <w:lang w:eastAsia="zh-CN"/>
              </w:rPr>
            </w:pPr>
            <w:r>
              <w:rPr>
                <w:rFonts w:hint="eastAsia" w:ascii="Times New Roman" w:hAnsi="Times New Roman" w:eastAsia="仿宋_GB2312"/>
                <w:szCs w:val="32"/>
              </w:rPr>
              <w:t>拟订沙坡头区农业科技和社会科技发展规划；组织申报国家、自治区和中卫市各类农业计划项目并组织实施；负责农业科技攻关、科技成果转化、科技惠民等项目管理工作；负责指导国家农业科技园区和现代农业科技创新示范区建设工作；负责组织并实施国家、自治区、中卫市人口健康、生态环保、公共安全和社会管理等领域的重大科技专项、各类科技计划；承担建立农村和社会发展领域科研项目资金协调、评估、监管机制；负责</w:t>
            </w:r>
            <w:r>
              <w:rPr>
                <w:rFonts w:hint="eastAsia" w:ascii="Times New Roman" w:hAnsi="Times New Roman" w:eastAsia="仿宋_GB2312"/>
                <w:szCs w:val="32"/>
                <w:lang w:val="en-US" w:eastAsia="zh-CN"/>
              </w:rPr>
              <w:t>农业科技型企业培育申报、农业科技平台建设、农业科技示范展示区、</w:t>
            </w:r>
            <w:r>
              <w:rPr>
                <w:rFonts w:hint="eastAsia" w:ascii="Times New Roman" w:hAnsi="Times New Roman" w:eastAsia="仿宋_GB2312"/>
                <w:szCs w:val="32"/>
              </w:rPr>
              <w:t>农业高新技术企业、“星创天地”申报工作；负责沙坡头区科技特派员创业行动指导协调、农业科技产业化和科技扶贫相关工作；指导农</w:t>
            </w:r>
            <w:r>
              <w:rPr>
                <w:rFonts w:hint="eastAsia" w:ascii="Times New Roman" w:hAnsi="Times New Roman" w:eastAsia="仿宋_GB2312"/>
                <w:szCs w:val="32"/>
                <w:lang w:val="en-US" w:eastAsia="zh-CN"/>
              </w:rPr>
              <w:t>业</w:t>
            </w:r>
            <w:r>
              <w:rPr>
                <w:rFonts w:hint="eastAsia" w:ascii="Times New Roman" w:hAnsi="Times New Roman" w:eastAsia="仿宋_GB2312"/>
                <w:szCs w:val="32"/>
              </w:rPr>
              <w:t>科技进步和各类农业科技试点有关工作</w:t>
            </w:r>
            <w:r>
              <w:rPr>
                <w:rFonts w:hint="eastAsia" w:ascii="Times New Roman" w:hAnsi="Times New Roman" w:eastAsia="仿宋_GB2312"/>
                <w:szCs w:val="32"/>
                <w:lang w:eastAsia="zh-CN"/>
              </w:rPr>
              <w:t>；</w:t>
            </w:r>
            <w:r>
              <w:rPr>
                <w:rFonts w:hint="eastAsia" w:ascii="Times New Roman" w:hAnsi="Times New Roman" w:eastAsia="仿宋_GB2312"/>
                <w:szCs w:val="32"/>
                <w:lang w:val="en-US" w:eastAsia="zh-CN"/>
              </w:rPr>
              <w:t>负责一带两廊、乡村乡村振兴、创新驱动、国家可持续发展实验区建设等工作。</w:t>
            </w:r>
            <w:bookmarkStart w:id="0" w:name="_GoBack"/>
            <w:bookmarkEnd w:id="0"/>
          </w:p>
        </w:tc>
        <w:tc>
          <w:tcPr>
            <w:tcW w:w="888"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马珍</w:t>
            </w:r>
          </w:p>
        </w:tc>
        <w:tc>
          <w:tcPr>
            <w:tcW w:w="1084" w:type="dxa"/>
            <w:gridSpan w:val="2"/>
            <w:vAlign w:val="center"/>
          </w:tcPr>
          <w:p>
            <w:pPr>
              <w:spacing w:line="0" w:lineRule="atLeast"/>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670" w:type="dxa"/>
            <w:vMerge w:val="continue"/>
            <w:tcBorders>
              <w:right w:val="single" w:color="auto" w:sz="4" w:space="0"/>
            </w:tcBorders>
            <w:vAlign w:val="center"/>
          </w:tcPr>
          <w:p>
            <w:pPr>
              <w:spacing w:line="0" w:lineRule="atLeast"/>
              <w:jc w:val="center"/>
            </w:pPr>
          </w:p>
        </w:tc>
        <w:tc>
          <w:tcPr>
            <w:tcW w:w="1270"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工业科技办公室</w:t>
            </w:r>
          </w:p>
        </w:tc>
        <w:tc>
          <w:tcPr>
            <w:tcW w:w="3859"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20"/>
                <w:szCs w:val="21"/>
                <w:lang w:val="en-US" w:eastAsia="zh-CN"/>
              </w:rPr>
            </w:pPr>
            <w:r>
              <w:rPr>
                <w:rFonts w:hint="eastAsia" w:ascii="Times New Roman" w:hAnsi="Times New Roman" w:eastAsia="仿宋_GB2312"/>
                <w:szCs w:val="32"/>
                <w:lang w:val="en-US" w:eastAsia="zh-CN"/>
              </w:rPr>
              <w:t>拟定沙坡头区工业科技发展规划；组织开展工业领域技术发展需求征集分析入库，提出重大任务并组织实施；组织工业技术科技研发、技术攻关和应用示范；负责组织工业企业申报国家、自治区、中卫市各类科技发展计划项目并监督实施；承担建立工业领域科研项目资金协调、评估、监管机制；负责开展高新技术企业、科技型中小企业申报工作；负责指导工业企业培育申报各类创新平台、众创空间，申报科技创新团队、科技基础条件建设、R&amp;D经费统计归集、发明专利统计、科技进步贡献率统计、科技型企业入库统计，研究开发费用财政后补助、税务加计扣除、各类科技创新政策奖励兑现等工作；负责科技统计工作和安全生产、环保、信访维稳、扫黑除恶等工作；负责县域科技创新工作。</w:t>
            </w:r>
          </w:p>
        </w:tc>
        <w:tc>
          <w:tcPr>
            <w:tcW w:w="888"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刘海军</w:t>
            </w:r>
          </w:p>
        </w:tc>
        <w:tc>
          <w:tcPr>
            <w:tcW w:w="1084"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70" w:type="dxa"/>
            <w:vMerge w:val="continue"/>
            <w:tcBorders>
              <w:right w:val="single" w:color="auto" w:sz="4" w:space="0"/>
            </w:tcBorders>
            <w:vAlign w:val="center"/>
          </w:tcPr>
          <w:p>
            <w:pPr>
              <w:spacing w:line="0" w:lineRule="atLeast"/>
              <w:jc w:val="center"/>
            </w:pPr>
          </w:p>
        </w:tc>
        <w:tc>
          <w:tcPr>
            <w:tcW w:w="1270"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科技信息服务中心</w:t>
            </w:r>
          </w:p>
        </w:tc>
        <w:tc>
          <w:tcPr>
            <w:tcW w:w="3859"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仿宋_GB2312"/>
                <w:szCs w:val="32"/>
                <w:lang w:val="en-US" w:eastAsia="zh-CN"/>
              </w:rPr>
            </w:pPr>
            <w:r>
              <w:rPr>
                <w:rFonts w:hint="eastAsia" w:ascii="Times New Roman" w:hAnsi="Times New Roman" w:eastAsia="仿宋_GB2312"/>
                <w:szCs w:val="32"/>
                <w:lang w:val="en-US" w:eastAsia="zh-CN"/>
              </w:rPr>
              <w:t>负责财务工作；负责开展科技型中小企业风险补偿资金贷款、科技保险等科技金融工作；负责技术市场建设管理，承担对外科技合作与交流、科技服务体系建设及科技成果转移转化相关工作；负责国内外科技信息的收集、整理和发布工作，为政府、企事业单位和社会公众提供科技信息服务；负责科学技术交流及成果转化服务平台的建立，协调产学研合作与交流；负责科技成果转化项目的受理、评审、认定、推荐和发布工作，为科技成果转化项目提供政策服务、负责技术合同成交额统计；负责开展科技情报检索、查阅、咨询服务，促进科技情报应用；承担科技服务体系建设的相关工作；负责组织“科技周”、“科普日”活动和各类科技创新创业大赛活动；负责新时代文明实践中心创建、招商引资等工作，牵头创新平台建设、项目需求库、专家库建设管理。负责各类上报数据的收集、审核、上报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仿宋_GB2312" w:hAnsi="仿宋_GB2312" w:eastAsia="仿宋_GB2312" w:cs="仿宋_GB2312"/>
                <w:kern w:val="0"/>
                <w:sz w:val="20"/>
                <w:szCs w:val="21"/>
                <w:lang w:val="en-US" w:eastAsia="zh-CN"/>
              </w:rPr>
            </w:pPr>
            <w:r>
              <w:rPr>
                <w:rFonts w:hint="eastAsia" w:ascii="Times New Roman" w:hAnsi="Times New Roman" w:eastAsia="仿宋_GB2312"/>
                <w:szCs w:val="32"/>
                <w:lang w:val="en-US" w:eastAsia="zh-CN"/>
              </w:rPr>
              <w:t>负责制定沙坡头区科普工作规划和全民科学素质行动计划并组织实施；负责组织协调群众性科普宣传及“科技三下乡”活动；负责编印科普系列图书资料，开展科普示范和实用技术培训、推广工作，创建科普示范基地，发展科技示范户；负责科普示范单位的创建、申报工作；负责“一站一栏一员”建设工作，开展对科普惠农服务站、科普宣传栏、科普宣传员的组建、制作、培训和管理工作；负责承担科协所属学会、协会、研究会、企业科协等社会团体的审批管理和日常联络工作。协调科协系统多学科的学术交流、学术研讨、决策论证，推动学科发展、学术繁荣和人才成长，促进科技与经济的结合；负责科协系统的科技文献编审、学术评审、评选申报工作；组织科技工作者优秀论文、科技成果的推荐申报工作；审议和制定青少年科技教育工作、总体规划并组织实施，负责组织科普示范学校、青少年科技教育基地创建工作；负责组织各类科协项目申报、实施管理工作；负责联系各类科技场馆；负责联系老科协工作。</w:t>
            </w:r>
          </w:p>
        </w:tc>
        <w:tc>
          <w:tcPr>
            <w:tcW w:w="888"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孙浩</w:t>
            </w:r>
          </w:p>
        </w:tc>
        <w:tc>
          <w:tcPr>
            <w:tcW w:w="1084" w:type="dxa"/>
            <w:gridSpan w:val="2"/>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8812005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101" w:type="dxa"/>
            <w:gridSpan w:val="15"/>
            <w:vAlign w:val="center"/>
          </w:tcPr>
          <w:p>
            <w:pPr>
              <w:spacing w:line="0" w:lineRule="atLeast"/>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工业科技办公室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670"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921"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gridSpan w:val="2"/>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gridSpan w:val="2"/>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70" w:type="dxa"/>
            <w:vMerge w:val="continue"/>
            <w:vAlign w:val="center"/>
          </w:tcPr>
          <w:p>
            <w:pPr>
              <w:spacing w:line="0" w:lineRule="atLeast"/>
              <w:rPr>
                <w:rFonts w:ascii="仿宋_GB2312" w:hAnsi="仿宋_GB2312" w:eastAsia="仿宋_GB2312" w:cs="仿宋_GB2312"/>
                <w:kern w:val="0"/>
                <w:sz w:val="20"/>
                <w:szCs w:val="21"/>
              </w:rPr>
            </w:pPr>
          </w:p>
        </w:tc>
        <w:tc>
          <w:tcPr>
            <w:tcW w:w="921"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gridSpan w:val="2"/>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9"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101" w:type="dxa"/>
            <w:gridSpan w:val="15"/>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《宁夏回族自治区促进科技成果转化条例》（2018年修订）</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《行政机关公务员处分条例》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《中华人民共和国促进科技成果转化法》（2015年修订）</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《宁夏回族自治区促进科技成果转化条例》（2018年修订）</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《行政机关公务员处分条例》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《中华人民共和国科学技术普及法》（2002年）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《宁夏回族自治区科学技术普及条例》（2000年）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《行政机关公务员处分条例》</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《宁夏回族自治区行政奖励办法》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《自治区科技成果转化专项资金管理暂行办法》（宁财（企） 发〔2006〕570 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《自治区科技厅、党委农村工作领导小组办公室、财政厅、农牧厅、林业局关于印发自治区农业科技成果转化专项行动计划的通知》（宁科农字〔2013〕1 号）</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ascii="Times New Roman" w:hAnsi="Times New Roman" w:eastAsia="仿宋_GB2312"/>
                <w:sz w:val="22"/>
                <w:szCs w:val="36"/>
                <w:lang w:val="en-US" w:eastAsia="zh-CN"/>
              </w:rPr>
            </w:pPr>
            <w:r>
              <w:rPr>
                <w:rFonts w:hint="eastAsia" w:ascii="Times New Roman" w:hAnsi="Times New Roman" w:eastAsia="仿宋_GB2312"/>
                <w:sz w:val="22"/>
                <w:szCs w:val="36"/>
                <w:lang w:val="en-US" w:eastAsia="zh-CN"/>
              </w:rPr>
              <w:t xml:space="preserve">《宁夏回族自治区科技特派员创业行动试点办法》（宁科特发〔2002〕1号)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167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101" w:type="dxa"/>
            <w:gridSpan w:val="15"/>
            <w:vAlign w:val="top"/>
          </w:tcPr>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400" w:firstLineChars="200"/>
              <w:jc w:val="center"/>
              <w:textAlignment w:val="center"/>
              <w:outlineLvl w:val="9"/>
              <w:rPr>
                <w:rFonts w:hint="eastAsia" w:ascii="仿宋_GB2312" w:hAnsi="仿宋_GB2312" w:eastAsia="仿宋_GB2312" w:cs="仿宋_GB2312"/>
                <w:kern w:val="0"/>
                <w:sz w:val="20"/>
                <w:szCs w:val="21"/>
                <w:lang w:val="en-US" w:eastAsia="zh-CN"/>
              </w:rPr>
            </w:pP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400" w:firstLineChars="200"/>
              <w:jc w:val="center"/>
              <w:textAlignment w:val="center"/>
              <w:outlineLvl w:val="9"/>
              <w:rPr>
                <w:rFonts w:hint="eastAsia" w:ascii="仿宋_GB2312" w:hAnsi="仿宋_GB2312" w:eastAsia="仿宋_GB2312" w:cs="仿宋_GB2312"/>
                <w:kern w:val="0"/>
                <w:sz w:val="20"/>
                <w:szCs w:val="21"/>
                <w:lang w:val="en-US" w:eastAsia="zh-CN"/>
              </w:rPr>
            </w:pP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400" w:firstLineChars="200"/>
              <w:jc w:val="center"/>
              <w:textAlignment w:val="center"/>
              <w:outlineLvl w:val="9"/>
              <w:rPr>
                <w:rFonts w:hint="eastAsia" w:ascii="仿宋_GB2312" w:hAnsi="仿宋_GB2312" w:eastAsia="仿宋_GB2312" w:cs="仿宋_GB2312"/>
                <w:kern w:val="0"/>
                <w:sz w:val="20"/>
                <w:szCs w:val="21"/>
                <w:lang w:val="en-US" w:eastAsia="zh-CN"/>
              </w:rPr>
            </w:pPr>
          </w:p>
          <w:p>
            <w:pPr>
              <w:keepNext w:val="0"/>
              <w:keepLines w:val="0"/>
              <w:pageBreakBefore w:val="0"/>
              <w:widowControl/>
              <w:kinsoku/>
              <w:wordWrap/>
              <w:overflowPunct/>
              <w:topLinePunct w:val="0"/>
              <w:autoSpaceDE/>
              <w:autoSpaceDN/>
              <w:bidi w:val="0"/>
              <w:adjustRightInd/>
              <w:snapToGrid/>
              <w:spacing w:line="180" w:lineRule="exact"/>
              <w:ind w:left="0" w:leftChars="0" w:right="0" w:rightChars="0" w:firstLine="420" w:firstLineChars="200"/>
              <w:jc w:val="center"/>
              <w:textAlignment w:val="center"/>
              <w:outlineLvl w:val="9"/>
              <w:rPr>
                <w:rFonts w:hint="default" w:ascii="仿宋_GB2312" w:hAnsi="仿宋_GB2312" w:eastAsia="仿宋_GB2312" w:cs="仿宋_GB2312"/>
                <w:kern w:val="0"/>
                <w:sz w:val="20"/>
                <w:szCs w:val="21"/>
                <w:lang w:val="en-US" w:eastAsia="zh-CN"/>
              </w:rPr>
            </w:pPr>
            <w:r>
              <w:rPr>
                <w:rFonts w:hint="eastAsia" w:ascii="Times New Roman" w:hAnsi="Times New Roman" w:eastAsia="仿宋_GB2312"/>
                <w:szCs w:val="32"/>
                <w:lang w:val="en-US" w:eastAsia="zh-CN"/>
              </w:rPr>
              <w:t>办公室8812012</w:t>
            </w:r>
          </w:p>
        </w:tc>
      </w:tr>
    </w:tbl>
    <w:p>
      <w:pPr>
        <w:tabs>
          <w:tab w:val="left" w:pos="2749"/>
        </w:tabs>
        <w:jc w:val="left"/>
        <w:rPr>
          <w:lang w:val="en-US"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4"/>
          <w:jc w:val="center"/>
        </w:pPr>
        <w:r>
          <w:fldChar w:fldCharType="begin"/>
        </w:r>
        <w:r>
          <w:instrText xml:space="preserve"> PAGE   \* MERGEFORMAT </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32155BA"/>
    <w:rsid w:val="0C1831C0"/>
    <w:rsid w:val="0D9C19F0"/>
    <w:rsid w:val="114B32FC"/>
    <w:rsid w:val="144E4B4A"/>
    <w:rsid w:val="158B744D"/>
    <w:rsid w:val="17B26F92"/>
    <w:rsid w:val="1E5C70F2"/>
    <w:rsid w:val="1F8134B5"/>
    <w:rsid w:val="21552AC3"/>
    <w:rsid w:val="226503CF"/>
    <w:rsid w:val="253532D9"/>
    <w:rsid w:val="25A919E0"/>
    <w:rsid w:val="28677C05"/>
    <w:rsid w:val="2A9E6CE6"/>
    <w:rsid w:val="2D043A05"/>
    <w:rsid w:val="2DA11D8E"/>
    <w:rsid w:val="2E2342C5"/>
    <w:rsid w:val="3112109E"/>
    <w:rsid w:val="327E3595"/>
    <w:rsid w:val="33A92A44"/>
    <w:rsid w:val="345D3D37"/>
    <w:rsid w:val="37F7077C"/>
    <w:rsid w:val="383D088C"/>
    <w:rsid w:val="38B87DBC"/>
    <w:rsid w:val="399E0A29"/>
    <w:rsid w:val="39BD22C0"/>
    <w:rsid w:val="3BDB4C22"/>
    <w:rsid w:val="43D72E40"/>
    <w:rsid w:val="489E3140"/>
    <w:rsid w:val="48D908BF"/>
    <w:rsid w:val="5128218C"/>
    <w:rsid w:val="547B399B"/>
    <w:rsid w:val="54D0032A"/>
    <w:rsid w:val="550A1EB8"/>
    <w:rsid w:val="5A1050CB"/>
    <w:rsid w:val="5A6E347B"/>
    <w:rsid w:val="5AA7606A"/>
    <w:rsid w:val="5DF91305"/>
    <w:rsid w:val="5EC867D7"/>
    <w:rsid w:val="623C746A"/>
    <w:rsid w:val="62EF615A"/>
    <w:rsid w:val="631C3BD0"/>
    <w:rsid w:val="65555DF2"/>
    <w:rsid w:val="65706ACF"/>
    <w:rsid w:val="670E39C9"/>
    <w:rsid w:val="67640BB7"/>
    <w:rsid w:val="69E95703"/>
    <w:rsid w:val="6A787B4F"/>
    <w:rsid w:val="6C6458AE"/>
    <w:rsid w:val="6CBF1A0B"/>
    <w:rsid w:val="6CC210FC"/>
    <w:rsid w:val="7114730C"/>
    <w:rsid w:val="73E45A12"/>
    <w:rsid w:val="768E083D"/>
    <w:rsid w:val="77B53DAD"/>
    <w:rsid w:val="78566B0F"/>
    <w:rsid w:val="78C57045"/>
    <w:rsid w:val="790E2F1C"/>
    <w:rsid w:val="793243B0"/>
    <w:rsid w:val="797F15C6"/>
    <w:rsid w:val="7A705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next w:val="1"/>
    <w:qFormat/>
    <w:uiPriority w:val="0"/>
    <w:pPr>
      <w:jc w:val="center"/>
    </w:pPr>
    <w:rPr>
      <w:sz w:val="24"/>
    </w:rPr>
  </w:style>
  <w:style w:type="paragraph" w:styleId="4">
    <w:name w:val="footer"/>
    <w:basedOn w:val="1"/>
    <w:next w:val="2"/>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cs="宋体"/>
      <w:kern w:val="0"/>
      <w:sz w:val="24"/>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桔子</cp:lastModifiedBy>
  <cp:lastPrinted>2021-01-08T07:35:00Z</cp:lastPrinted>
  <dcterms:modified xsi:type="dcterms:W3CDTF">2021-01-08T08:17:50Z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