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08D80">
      <w:pPr>
        <w:jc w:val="center"/>
        <w:rPr>
          <w:rFonts w:hint="eastAsia"/>
          <w:lang w:val="en-US" w:eastAsia="zh-CN"/>
        </w:rPr>
      </w:pPr>
      <w:r>
        <w:rPr>
          <w:rFonts w:hint="default" w:ascii="Times New Roman" w:hAnsi="Times New Roman" w:eastAsia="方正小标宋简体" w:cs="Times New Roman"/>
          <w:b w:val="0"/>
          <w:bCs w:val="0"/>
          <w:color w:val="000000"/>
          <w:kern w:val="0"/>
          <w:sz w:val="44"/>
          <w:szCs w:val="44"/>
          <w:lang w:val="en-US" w:eastAsia="zh-CN" w:bidi="ar-SA"/>
        </w:rPr>
        <w:t>202</w:t>
      </w:r>
      <w:r>
        <w:rPr>
          <w:rFonts w:hint="eastAsia" w:eastAsia="方正小标宋简体" w:cs="Times New Roman"/>
          <w:b w:val="0"/>
          <w:bCs w:val="0"/>
          <w:color w:val="000000"/>
          <w:kern w:val="0"/>
          <w:sz w:val="44"/>
          <w:szCs w:val="44"/>
          <w:lang w:val="en-US" w:eastAsia="zh-CN" w:bidi="ar-SA"/>
        </w:rPr>
        <w:t>5</w:t>
      </w:r>
      <w:r>
        <w:rPr>
          <w:rFonts w:hint="default" w:ascii="Times New Roman" w:hAnsi="Times New Roman" w:eastAsia="方正小标宋简体" w:cs="Times New Roman"/>
          <w:b w:val="0"/>
          <w:bCs w:val="0"/>
          <w:color w:val="000000"/>
          <w:kern w:val="0"/>
          <w:sz w:val="44"/>
          <w:szCs w:val="44"/>
          <w:lang w:val="en-US" w:eastAsia="zh-CN" w:bidi="ar-SA"/>
        </w:rPr>
        <w:t>年</w:t>
      </w:r>
      <w:r>
        <w:rPr>
          <w:rFonts w:hint="eastAsia" w:eastAsia="方正小标宋简体" w:cs="Times New Roman"/>
          <w:b w:val="0"/>
          <w:bCs w:val="0"/>
          <w:color w:val="000000"/>
          <w:kern w:val="0"/>
          <w:sz w:val="44"/>
          <w:szCs w:val="44"/>
          <w:lang w:val="en-US" w:eastAsia="zh-CN" w:bidi="ar-SA"/>
        </w:rPr>
        <w:t>中卫市</w:t>
      </w:r>
      <w:r>
        <w:rPr>
          <w:rFonts w:hint="default" w:ascii="Times New Roman" w:hAnsi="Times New Roman" w:eastAsia="方正小标宋简体" w:cs="Times New Roman"/>
          <w:b w:val="0"/>
          <w:bCs w:val="0"/>
          <w:color w:val="000000"/>
          <w:kern w:val="0"/>
          <w:sz w:val="44"/>
          <w:szCs w:val="44"/>
          <w:lang w:val="en-US" w:eastAsia="zh-CN" w:bidi="ar-SA"/>
        </w:rPr>
        <w:t>沙坡头区</w:t>
      </w:r>
      <w:r>
        <w:rPr>
          <w:rFonts w:hint="eastAsia" w:eastAsia="方正小标宋简体" w:cs="Times New Roman"/>
          <w:b w:val="0"/>
          <w:bCs w:val="0"/>
          <w:color w:val="000000"/>
          <w:kern w:val="0"/>
          <w:sz w:val="44"/>
          <w:szCs w:val="44"/>
          <w:lang w:val="en-US" w:eastAsia="zh-CN" w:bidi="ar-SA"/>
        </w:rPr>
        <w:t>教育局</w:t>
      </w:r>
      <w:r>
        <w:rPr>
          <w:rFonts w:hint="default" w:ascii="Times New Roman" w:hAnsi="Times New Roman" w:eastAsia="方正小标宋简体" w:cs="Times New Roman"/>
          <w:b w:val="0"/>
          <w:bCs w:val="0"/>
          <w:color w:val="000000"/>
          <w:kern w:val="0"/>
          <w:sz w:val="44"/>
          <w:szCs w:val="44"/>
          <w:lang w:val="en-US" w:eastAsia="zh-CN" w:bidi="ar-SA"/>
        </w:rPr>
        <w:t>随机抽查</w:t>
      </w:r>
      <w:r>
        <w:rPr>
          <w:rFonts w:hint="eastAsia" w:eastAsia="方正小标宋简体" w:cs="Times New Roman"/>
          <w:b w:val="0"/>
          <w:bCs w:val="0"/>
          <w:color w:val="000000"/>
          <w:kern w:val="0"/>
          <w:sz w:val="44"/>
          <w:szCs w:val="44"/>
          <w:lang w:val="en-US" w:eastAsia="zh-CN" w:bidi="ar-SA"/>
        </w:rPr>
        <w:t>事项清单</w:t>
      </w:r>
    </w:p>
    <w:tbl>
      <w:tblPr>
        <w:tblStyle w:val="3"/>
        <w:tblpPr w:leftFromText="180" w:rightFromText="180" w:vertAnchor="text" w:horzAnchor="page" w:tblpX="1459" w:tblpY="78"/>
        <w:tblOverlap w:val="never"/>
        <w:tblW w:w="14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1364"/>
        <w:gridCol w:w="1584"/>
        <w:gridCol w:w="1178"/>
        <w:gridCol w:w="1104"/>
        <w:gridCol w:w="1474"/>
        <w:gridCol w:w="1236"/>
        <w:gridCol w:w="4248"/>
        <w:gridCol w:w="974"/>
        <w:gridCol w:w="974"/>
      </w:tblGrid>
      <w:tr w14:paraId="5EAE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33" w:type="dxa"/>
            <w:vMerge w:val="restart"/>
            <w:noWrap w:val="0"/>
            <w:tcMar>
              <w:top w:w="12" w:type="dxa"/>
              <w:left w:w="12" w:type="dxa"/>
              <w:right w:w="12" w:type="dxa"/>
            </w:tcMar>
            <w:vAlign w:val="center"/>
          </w:tcPr>
          <w:p w14:paraId="6063D83C">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序号</w:t>
            </w:r>
          </w:p>
        </w:tc>
        <w:tc>
          <w:tcPr>
            <w:tcW w:w="2948" w:type="dxa"/>
            <w:gridSpan w:val="2"/>
            <w:noWrap w:val="0"/>
            <w:tcMar>
              <w:top w:w="12" w:type="dxa"/>
              <w:left w:w="12" w:type="dxa"/>
              <w:right w:w="12" w:type="dxa"/>
            </w:tcMar>
            <w:vAlign w:val="center"/>
          </w:tcPr>
          <w:p w14:paraId="01C92713">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抽查项目</w:t>
            </w:r>
          </w:p>
        </w:tc>
        <w:tc>
          <w:tcPr>
            <w:tcW w:w="1178" w:type="dxa"/>
            <w:vMerge w:val="restart"/>
            <w:noWrap w:val="0"/>
            <w:tcMar>
              <w:top w:w="12" w:type="dxa"/>
              <w:left w:w="12" w:type="dxa"/>
              <w:right w:w="12" w:type="dxa"/>
            </w:tcMar>
            <w:vAlign w:val="center"/>
          </w:tcPr>
          <w:p w14:paraId="43916233">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检查对象</w:t>
            </w:r>
          </w:p>
        </w:tc>
        <w:tc>
          <w:tcPr>
            <w:tcW w:w="1104" w:type="dxa"/>
            <w:vMerge w:val="restart"/>
            <w:noWrap w:val="0"/>
            <w:tcMar>
              <w:top w:w="12" w:type="dxa"/>
              <w:left w:w="12" w:type="dxa"/>
              <w:right w:w="12" w:type="dxa"/>
            </w:tcMar>
            <w:vAlign w:val="center"/>
          </w:tcPr>
          <w:p w14:paraId="77E2C4A8">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事项类别</w:t>
            </w:r>
          </w:p>
        </w:tc>
        <w:tc>
          <w:tcPr>
            <w:tcW w:w="1474" w:type="dxa"/>
            <w:vMerge w:val="restart"/>
            <w:noWrap w:val="0"/>
            <w:tcMar>
              <w:top w:w="12" w:type="dxa"/>
              <w:left w:w="12" w:type="dxa"/>
              <w:right w:w="12" w:type="dxa"/>
            </w:tcMar>
            <w:vAlign w:val="center"/>
          </w:tcPr>
          <w:p w14:paraId="235E3387">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检查方式</w:t>
            </w:r>
          </w:p>
        </w:tc>
        <w:tc>
          <w:tcPr>
            <w:tcW w:w="1236" w:type="dxa"/>
            <w:vMerge w:val="restart"/>
            <w:noWrap w:val="0"/>
            <w:tcMar>
              <w:top w:w="12" w:type="dxa"/>
              <w:left w:w="12" w:type="dxa"/>
              <w:right w:w="12" w:type="dxa"/>
            </w:tcMar>
            <w:vAlign w:val="center"/>
          </w:tcPr>
          <w:p w14:paraId="07A316D6">
            <w:pPr>
              <w:keepNext w:val="0"/>
              <w:keepLines w:val="0"/>
              <w:pageBreakBefore w:val="0"/>
              <w:widowControl/>
              <w:kinsoku/>
              <w:wordWrap/>
              <w:overflowPunct/>
              <w:topLinePunct w:val="0"/>
              <w:autoSpaceDE/>
              <w:autoSpaceDN/>
              <w:bidi w:val="0"/>
              <w:adjustRightInd/>
              <w:spacing w:line="180" w:lineRule="exact"/>
              <w:jc w:val="center"/>
              <w:textAlignment w:val="center"/>
              <w:rPr>
                <w:rFonts w:hint="eastAsia" w:ascii="Times New Roman" w:hAnsi="Times New Roman" w:eastAsia="仿宋_GB2312" w:cs="Times New Roman"/>
                <w:b/>
                <w:bCs/>
                <w:color w:val="000000"/>
                <w:sz w:val="18"/>
                <w:szCs w:val="18"/>
                <w:lang w:eastAsia="zh-CN"/>
              </w:rPr>
            </w:pPr>
            <w:r>
              <w:rPr>
                <w:rFonts w:hint="default" w:ascii="Times New Roman" w:hAnsi="Times New Roman" w:eastAsia="仿宋_GB2312" w:cs="Times New Roman"/>
                <w:b/>
                <w:bCs/>
                <w:color w:val="000000"/>
                <w:kern w:val="0"/>
                <w:sz w:val="18"/>
                <w:szCs w:val="18"/>
                <w:lang w:bidi="ar"/>
              </w:rPr>
              <w:t>检查</w:t>
            </w:r>
            <w:r>
              <w:rPr>
                <w:rFonts w:hint="eastAsia" w:eastAsia="仿宋_GB2312" w:cs="Times New Roman"/>
                <w:b/>
                <w:bCs/>
                <w:color w:val="000000"/>
                <w:kern w:val="0"/>
                <w:sz w:val="18"/>
                <w:szCs w:val="18"/>
                <w:lang w:val="en-US" w:eastAsia="zh-CN" w:bidi="ar"/>
              </w:rPr>
              <w:t>主体</w:t>
            </w:r>
          </w:p>
        </w:tc>
        <w:tc>
          <w:tcPr>
            <w:tcW w:w="4248" w:type="dxa"/>
            <w:vMerge w:val="restart"/>
            <w:noWrap w:val="0"/>
            <w:tcMar>
              <w:top w:w="12" w:type="dxa"/>
              <w:left w:w="12" w:type="dxa"/>
              <w:right w:w="12" w:type="dxa"/>
            </w:tcMar>
            <w:vAlign w:val="center"/>
          </w:tcPr>
          <w:p w14:paraId="026B0A78">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检查依据</w:t>
            </w:r>
          </w:p>
        </w:tc>
        <w:tc>
          <w:tcPr>
            <w:tcW w:w="974" w:type="dxa"/>
            <w:vMerge w:val="restart"/>
            <w:noWrap w:val="0"/>
            <w:tcMar>
              <w:top w:w="12" w:type="dxa"/>
              <w:left w:w="12" w:type="dxa"/>
              <w:right w:w="12" w:type="dxa"/>
            </w:tcMar>
            <w:vAlign w:val="center"/>
          </w:tcPr>
          <w:p w14:paraId="3B2E3E17">
            <w:pPr>
              <w:keepNext w:val="0"/>
              <w:keepLines w:val="0"/>
              <w:pageBreakBefore w:val="0"/>
              <w:widowControl/>
              <w:kinsoku/>
              <w:wordWrap/>
              <w:overflowPunct/>
              <w:topLinePunct w:val="0"/>
              <w:autoSpaceDE/>
              <w:autoSpaceDN/>
              <w:bidi w:val="0"/>
              <w:adjustRightInd/>
              <w:spacing w:line="180" w:lineRule="exact"/>
              <w:jc w:val="center"/>
              <w:textAlignment w:val="center"/>
              <w:rPr>
                <w:rFonts w:hint="eastAsia" w:ascii="Times New Roman" w:hAnsi="Times New Roman" w:eastAsia="仿宋_GB2312" w:cs="Times New Roman"/>
                <w:b/>
                <w:bCs/>
                <w:color w:val="000000"/>
                <w:kern w:val="0"/>
                <w:sz w:val="18"/>
                <w:szCs w:val="18"/>
                <w:lang w:val="en-US" w:eastAsia="zh-CN" w:bidi="ar"/>
              </w:rPr>
            </w:pPr>
            <w:r>
              <w:rPr>
                <w:rFonts w:hint="eastAsia" w:eastAsia="仿宋_GB2312" w:cs="Times New Roman"/>
                <w:b/>
                <w:bCs/>
                <w:color w:val="000000"/>
                <w:kern w:val="0"/>
                <w:sz w:val="18"/>
                <w:szCs w:val="18"/>
                <w:lang w:val="en-US" w:eastAsia="zh-CN" w:bidi="ar"/>
              </w:rPr>
              <w:t>抽查比例</w:t>
            </w:r>
          </w:p>
        </w:tc>
        <w:tc>
          <w:tcPr>
            <w:tcW w:w="974" w:type="dxa"/>
            <w:vMerge w:val="restart"/>
            <w:noWrap w:val="0"/>
            <w:tcMar>
              <w:top w:w="12" w:type="dxa"/>
              <w:left w:w="12" w:type="dxa"/>
              <w:right w:w="12" w:type="dxa"/>
            </w:tcMar>
            <w:vAlign w:val="center"/>
          </w:tcPr>
          <w:p w14:paraId="7CDDB8C4">
            <w:pPr>
              <w:keepNext w:val="0"/>
              <w:keepLines w:val="0"/>
              <w:pageBreakBefore w:val="0"/>
              <w:widowControl/>
              <w:tabs>
                <w:tab w:val="left" w:pos="456"/>
              </w:tabs>
              <w:kinsoku/>
              <w:wordWrap/>
              <w:overflowPunct/>
              <w:topLinePunct w:val="0"/>
              <w:autoSpaceDE/>
              <w:autoSpaceDN/>
              <w:bidi w:val="0"/>
              <w:adjustRightInd/>
              <w:spacing w:line="180" w:lineRule="exact"/>
              <w:jc w:val="center"/>
              <w:textAlignment w:val="center"/>
              <w:rPr>
                <w:rFonts w:hint="default" w:eastAsia="仿宋_GB2312" w:cs="Times New Roman"/>
                <w:b/>
                <w:bCs/>
                <w:color w:val="000000"/>
                <w:kern w:val="0"/>
                <w:sz w:val="18"/>
                <w:szCs w:val="18"/>
                <w:lang w:val="en-US" w:eastAsia="zh-CN" w:bidi="ar"/>
              </w:rPr>
            </w:pPr>
            <w:r>
              <w:rPr>
                <w:rFonts w:hint="eastAsia" w:eastAsia="仿宋_GB2312" w:cs="Times New Roman"/>
                <w:b/>
                <w:bCs/>
                <w:color w:val="000000"/>
                <w:kern w:val="0"/>
                <w:sz w:val="18"/>
                <w:szCs w:val="18"/>
                <w:lang w:val="en-US" w:eastAsia="zh-CN" w:bidi="ar"/>
              </w:rPr>
              <w:t>完成时限</w:t>
            </w:r>
          </w:p>
        </w:tc>
      </w:tr>
      <w:tr w14:paraId="5D2E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633" w:type="dxa"/>
            <w:vMerge w:val="continue"/>
            <w:noWrap w:val="0"/>
            <w:tcMar>
              <w:top w:w="12" w:type="dxa"/>
              <w:left w:w="12" w:type="dxa"/>
              <w:right w:w="12" w:type="dxa"/>
            </w:tcMar>
            <w:vAlign w:val="center"/>
          </w:tcPr>
          <w:p w14:paraId="64CCB143">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1364" w:type="dxa"/>
            <w:noWrap w:val="0"/>
            <w:tcMar>
              <w:top w:w="12" w:type="dxa"/>
              <w:left w:w="12" w:type="dxa"/>
              <w:right w:w="12" w:type="dxa"/>
            </w:tcMar>
            <w:vAlign w:val="center"/>
          </w:tcPr>
          <w:p w14:paraId="431F03AF">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kern w:val="0"/>
                <w:sz w:val="18"/>
                <w:szCs w:val="18"/>
                <w:lang w:val="en-US" w:eastAsia="zh-CN" w:bidi="ar"/>
              </w:rPr>
            </w:pPr>
            <w:r>
              <w:rPr>
                <w:rFonts w:hint="eastAsia" w:eastAsia="仿宋_GB2312" w:cs="Times New Roman"/>
                <w:b/>
                <w:bCs/>
                <w:color w:val="000000"/>
                <w:kern w:val="0"/>
                <w:sz w:val="18"/>
                <w:szCs w:val="18"/>
                <w:lang w:val="en-US" w:eastAsia="zh-CN" w:bidi="ar"/>
              </w:rPr>
              <w:t>抽查类别</w:t>
            </w:r>
          </w:p>
        </w:tc>
        <w:tc>
          <w:tcPr>
            <w:tcW w:w="1584" w:type="dxa"/>
            <w:noWrap w:val="0"/>
            <w:tcMar>
              <w:top w:w="12" w:type="dxa"/>
              <w:left w:w="12" w:type="dxa"/>
              <w:right w:w="12" w:type="dxa"/>
            </w:tcMar>
            <w:vAlign w:val="center"/>
          </w:tcPr>
          <w:p w14:paraId="7D250088">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b/>
                <w:bCs/>
                <w:color w:val="000000"/>
                <w:kern w:val="0"/>
                <w:sz w:val="18"/>
                <w:szCs w:val="18"/>
                <w:lang w:val="en-US" w:eastAsia="zh-CN" w:bidi="ar"/>
              </w:rPr>
            </w:pPr>
            <w:r>
              <w:rPr>
                <w:rFonts w:hint="eastAsia" w:eastAsia="仿宋_GB2312" w:cs="Times New Roman"/>
                <w:b/>
                <w:bCs/>
                <w:color w:val="000000"/>
                <w:kern w:val="0"/>
                <w:sz w:val="18"/>
                <w:szCs w:val="18"/>
                <w:lang w:val="en-US" w:eastAsia="zh-CN" w:bidi="ar"/>
              </w:rPr>
              <w:t>抽查事项</w:t>
            </w:r>
          </w:p>
        </w:tc>
        <w:tc>
          <w:tcPr>
            <w:tcW w:w="1178" w:type="dxa"/>
            <w:vMerge w:val="continue"/>
            <w:noWrap w:val="0"/>
            <w:tcMar>
              <w:top w:w="12" w:type="dxa"/>
              <w:left w:w="12" w:type="dxa"/>
              <w:right w:w="12" w:type="dxa"/>
            </w:tcMar>
            <w:vAlign w:val="center"/>
          </w:tcPr>
          <w:p w14:paraId="0DEB5E77">
            <w:pPr>
              <w:keepNext w:val="0"/>
              <w:keepLines w:val="0"/>
              <w:pageBreakBefore w:val="0"/>
              <w:widowControl/>
              <w:kinsoku/>
              <w:wordWrap/>
              <w:overflowPunct/>
              <w:topLinePunct w:val="0"/>
              <w:autoSpaceDE/>
              <w:autoSpaceDN/>
              <w:bidi w:val="0"/>
              <w:adjustRightInd/>
              <w:spacing w:line="180" w:lineRule="exact"/>
              <w:jc w:val="left"/>
              <w:textAlignment w:val="center"/>
              <w:rPr>
                <w:rFonts w:hint="default" w:ascii="Times New Roman" w:hAnsi="Times New Roman" w:eastAsia="仿宋_GB2312" w:cs="Times New Roman"/>
                <w:color w:val="000000"/>
                <w:kern w:val="0"/>
                <w:sz w:val="16"/>
                <w:szCs w:val="16"/>
                <w:lang w:bidi="ar"/>
              </w:rPr>
            </w:pPr>
          </w:p>
        </w:tc>
        <w:tc>
          <w:tcPr>
            <w:tcW w:w="1104" w:type="dxa"/>
            <w:vMerge w:val="continue"/>
            <w:noWrap w:val="0"/>
            <w:tcMar>
              <w:top w:w="12" w:type="dxa"/>
              <w:left w:w="12" w:type="dxa"/>
              <w:right w:w="12" w:type="dxa"/>
            </w:tcMar>
            <w:vAlign w:val="center"/>
          </w:tcPr>
          <w:p w14:paraId="1EC2CF68">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1474" w:type="dxa"/>
            <w:vMerge w:val="continue"/>
            <w:noWrap w:val="0"/>
            <w:tcMar>
              <w:top w:w="12" w:type="dxa"/>
              <w:left w:w="12" w:type="dxa"/>
              <w:right w:w="12" w:type="dxa"/>
            </w:tcMar>
            <w:vAlign w:val="center"/>
          </w:tcPr>
          <w:p w14:paraId="3E5FE861">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1236" w:type="dxa"/>
            <w:vMerge w:val="continue"/>
            <w:noWrap w:val="0"/>
            <w:tcMar>
              <w:top w:w="12" w:type="dxa"/>
              <w:left w:w="12" w:type="dxa"/>
              <w:right w:w="12" w:type="dxa"/>
            </w:tcMar>
            <w:vAlign w:val="center"/>
          </w:tcPr>
          <w:p w14:paraId="21D7891A">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4248" w:type="dxa"/>
            <w:vMerge w:val="continue"/>
            <w:noWrap w:val="0"/>
            <w:tcMar>
              <w:top w:w="12" w:type="dxa"/>
              <w:left w:w="12" w:type="dxa"/>
              <w:right w:w="12" w:type="dxa"/>
            </w:tcMar>
            <w:vAlign w:val="center"/>
          </w:tcPr>
          <w:p w14:paraId="5BEB5BBD">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974" w:type="dxa"/>
            <w:vMerge w:val="continue"/>
            <w:noWrap w:val="0"/>
            <w:tcMar>
              <w:top w:w="12" w:type="dxa"/>
              <w:left w:w="12" w:type="dxa"/>
              <w:right w:w="12" w:type="dxa"/>
            </w:tcMar>
            <w:vAlign w:val="center"/>
          </w:tcPr>
          <w:p w14:paraId="6CDDCA1A">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c>
          <w:tcPr>
            <w:tcW w:w="974" w:type="dxa"/>
            <w:vMerge w:val="continue"/>
            <w:noWrap w:val="0"/>
            <w:tcMar>
              <w:top w:w="12" w:type="dxa"/>
              <w:left w:w="12" w:type="dxa"/>
              <w:right w:w="12" w:type="dxa"/>
            </w:tcMar>
            <w:vAlign w:val="center"/>
          </w:tcPr>
          <w:p w14:paraId="1EC03121">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color w:val="000000"/>
                <w:kern w:val="0"/>
                <w:sz w:val="16"/>
                <w:szCs w:val="16"/>
                <w:lang w:bidi="ar"/>
              </w:rPr>
            </w:pPr>
          </w:p>
        </w:tc>
      </w:tr>
      <w:tr w14:paraId="3D73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33" w:type="dxa"/>
            <w:noWrap w:val="0"/>
            <w:tcMar>
              <w:top w:w="12" w:type="dxa"/>
              <w:left w:w="12" w:type="dxa"/>
              <w:right w:w="12" w:type="dxa"/>
            </w:tcMar>
            <w:vAlign w:val="center"/>
          </w:tcPr>
          <w:p w14:paraId="4E60D853">
            <w:pPr>
              <w:keepNext w:val="0"/>
              <w:keepLines w:val="0"/>
              <w:pageBreakBefore w:val="0"/>
              <w:widowControl/>
              <w:kinsoku/>
              <w:wordWrap/>
              <w:overflowPunct/>
              <w:topLinePunct w:val="0"/>
              <w:autoSpaceDE/>
              <w:autoSpaceDN/>
              <w:bidi w:val="0"/>
              <w:adjustRightInd/>
              <w:spacing w:line="180" w:lineRule="exact"/>
              <w:jc w:val="center"/>
              <w:textAlignment w:val="center"/>
              <w:rPr>
                <w:rFonts w:hint="eastAsia" w:ascii="Times New Roman" w:hAnsi="Times New Roman" w:eastAsia="仿宋_GB2312" w:cs="Times New Roman"/>
                <w:color w:val="000000"/>
                <w:kern w:val="0"/>
                <w:sz w:val="16"/>
                <w:szCs w:val="16"/>
                <w:lang w:val="en-US" w:eastAsia="zh-CN" w:bidi="ar"/>
              </w:rPr>
            </w:pPr>
            <w:r>
              <w:rPr>
                <w:rFonts w:hint="eastAsia" w:eastAsia="仿宋_GB2312" w:cs="Times New Roman"/>
                <w:color w:val="000000"/>
                <w:kern w:val="0"/>
                <w:sz w:val="16"/>
                <w:szCs w:val="16"/>
                <w:lang w:val="en-US" w:eastAsia="zh-CN" w:bidi="ar"/>
              </w:rPr>
              <w:t>1</w:t>
            </w:r>
          </w:p>
        </w:tc>
        <w:tc>
          <w:tcPr>
            <w:tcW w:w="1364" w:type="dxa"/>
            <w:noWrap w:val="0"/>
            <w:tcMar>
              <w:top w:w="12" w:type="dxa"/>
              <w:left w:w="12" w:type="dxa"/>
              <w:right w:w="12" w:type="dxa"/>
            </w:tcMar>
            <w:vAlign w:val="center"/>
          </w:tcPr>
          <w:p w14:paraId="6C5506B2">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color w:val="000000"/>
                <w:kern w:val="0"/>
                <w:sz w:val="16"/>
                <w:szCs w:val="16"/>
                <w:lang w:bidi="ar"/>
              </w:rPr>
            </w:pPr>
            <w:r>
              <w:rPr>
                <w:rFonts w:hint="eastAsia" w:eastAsia="仿宋_GB2312" w:cs="Times New Roman"/>
                <w:i w:val="0"/>
                <w:color w:val="000000"/>
                <w:kern w:val="0"/>
                <w:sz w:val="16"/>
                <w:szCs w:val="16"/>
                <w:u w:val="none"/>
                <w:lang w:val="en-US" w:eastAsia="zh-CN" w:bidi="ar"/>
              </w:rPr>
              <w:t>学科类</w:t>
            </w:r>
            <w:r>
              <w:rPr>
                <w:rFonts w:hint="default" w:ascii="Times New Roman" w:hAnsi="Times New Roman" w:eastAsia="仿宋_GB2312" w:cs="Times New Roman"/>
                <w:i w:val="0"/>
                <w:color w:val="000000"/>
                <w:kern w:val="0"/>
                <w:sz w:val="16"/>
                <w:szCs w:val="16"/>
                <w:u w:val="none"/>
                <w:lang w:val="en-US" w:eastAsia="zh-CN" w:bidi="ar"/>
              </w:rPr>
              <w:t>校外培训机构监管</w:t>
            </w:r>
          </w:p>
        </w:tc>
        <w:tc>
          <w:tcPr>
            <w:tcW w:w="1584" w:type="dxa"/>
            <w:noWrap w:val="0"/>
            <w:tcMar>
              <w:top w:w="12" w:type="dxa"/>
              <w:left w:w="12" w:type="dxa"/>
              <w:right w:w="12" w:type="dxa"/>
            </w:tcMar>
            <w:vAlign w:val="center"/>
          </w:tcPr>
          <w:p w14:paraId="67E92433">
            <w:pPr>
              <w:keepNext w:val="0"/>
              <w:keepLines w:val="0"/>
              <w:pageBreakBefore w:val="0"/>
              <w:widowControl/>
              <w:kinsoku/>
              <w:wordWrap/>
              <w:overflowPunct/>
              <w:topLinePunct w:val="0"/>
              <w:autoSpaceDE/>
              <w:autoSpaceDN/>
              <w:bidi w:val="0"/>
              <w:adjustRightInd/>
              <w:spacing w:line="180" w:lineRule="exact"/>
              <w:jc w:val="left"/>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i w:val="0"/>
                <w:color w:val="000000"/>
                <w:kern w:val="0"/>
                <w:sz w:val="16"/>
                <w:szCs w:val="16"/>
                <w:u w:val="none"/>
                <w:lang w:val="en-US" w:eastAsia="zh-CN" w:bidi="ar"/>
              </w:rPr>
              <w:t>培训机构资质条件、经营活动、培训服务行为的检查</w:t>
            </w:r>
          </w:p>
        </w:tc>
        <w:tc>
          <w:tcPr>
            <w:tcW w:w="1178" w:type="dxa"/>
            <w:noWrap w:val="0"/>
            <w:tcMar>
              <w:top w:w="12" w:type="dxa"/>
              <w:left w:w="12" w:type="dxa"/>
              <w:right w:w="12" w:type="dxa"/>
            </w:tcMar>
            <w:vAlign w:val="center"/>
          </w:tcPr>
          <w:p w14:paraId="15B83B32">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i w:val="0"/>
                <w:color w:val="000000"/>
                <w:kern w:val="0"/>
                <w:sz w:val="16"/>
                <w:szCs w:val="16"/>
                <w:u w:val="none"/>
                <w:lang w:val="en" w:eastAsia="zh-CN" w:bidi="ar"/>
              </w:rPr>
              <w:t>中小学学科类校外培训机构</w:t>
            </w:r>
          </w:p>
        </w:tc>
        <w:tc>
          <w:tcPr>
            <w:tcW w:w="1104" w:type="dxa"/>
            <w:noWrap w:val="0"/>
            <w:tcMar>
              <w:top w:w="12" w:type="dxa"/>
              <w:left w:w="12" w:type="dxa"/>
              <w:right w:w="12" w:type="dxa"/>
            </w:tcMar>
            <w:vAlign w:val="center"/>
          </w:tcPr>
          <w:p w14:paraId="1330714B">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一般检查事项</w:t>
            </w:r>
          </w:p>
        </w:tc>
        <w:tc>
          <w:tcPr>
            <w:tcW w:w="1474" w:type="dxa"/>
            <w:noWrap w:val="0"/>
            <w:tcMar>
              <w:top w:w="12" w:type="dxa"/>
              <w:left w:w="12" w:type="dxa"/>
              <w:right w:w="12" w:type="dxa"/>
            </w:tcMar>
            <w:vAlign w:val="center"/>
          </w:tcPr>
          <w:p w14:paraId="64FCF236">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现场检查</w:t>
            </w:r>
          </w:p>
        </w:tc>
        <w:tc>
          <w:tcPr>
            <w:tcW w:w="1236" w:type="dxa"/>
            <w:noWrap w:val="0"/>
            <w:tcMar>
              <w:top w:w="12" w:type="dxa"/>
              <w:left w:w="12" w:type="dxa"/>
              <w:right w:w="12" w:type="dxa"/>
            </w:tcMar>
            <w:vAlign w:val="center"/>
          </w:tcPr>
          <w:p w14:paraId="052DFCEB">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val="en-US" w:bidi="ar"/>
              </w:rPr>
            </w:pPr>
            <w:r>
              <w:rPr>
                <w:rFonts w:hint="eastAsia" w:eastAsia="仿宋_GB2312" w:cs="Times New Roman"/>
                <w:color w:val="auto"/>
                <w:sz w:val="16"/>
                <w:szCs w:val="16"/>
                <w:lang w:val="en-US" w:eastAsia="zh-CN"/>
              </w:rPr>
              <w:t>区教育局</w:t>
            </w:r>
          </w:p>
        </w:tc>
        <w:tc>
          <w:tcPr>
            <w:tcW w:w="4248" w:type="dxa"/>
            <w:noWrap w:val="0"/>
            <w:tcMar>
              <w:top w:w="12" w:type="dxa"/>
              <w:left w:w="12" w:type="dxa"/>
              <w:right w:w="12" w:type="dxa"/>
            </w:tcMar>
            <w:vAlign w:val="center"/>
          </w:tcPr>
          <w:p w14:paraId="67DDE416">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《中共中央办公厅、国务院关于进一步减轻义务教育阶段学生作业负担和校外培训负担的意见》《教育部、中央编办、司法部关于加强教育行政执法深入推进校外培训综合治理的意见》</w:t>
            </w:r>
            <w:r>
              <w:rPr>
                <w:rFonts w:hint="default" w:ascii="Times New Roman" w:hAnsi="Times New Roman" w:eastAsia="仿宋_GB2312" w:cs="Times New Roman"/>
                <w:color w:val="auto"/>
                <w:sz w:val="16"/>
                <w:szCs w:val="16"/>
                <w:lang w:val="en"/>
              </w:rPr>
              <w:t>(</w:t>
            </w:r>
            <w:r>
              <w:rPr>
                <w:rFonts w:hint="default" w:ascii="Times New Roman" w:hAnsi="Times New Roman" w:eastAsia="仿宋_GB2312" w:cs="Times New Roman"/>
                <w:color w:val="auto"/>
                <w:sz w:val="16"/>
                <w:szCs w:val="16"/>
              </w:rPr>
              <w:t>教监管〔2022〕1号</w:t>
            </w:r>
            <w:r>
              <w:rPr>
                <w:rFonts w:hint="default" w:ascii="Times New Roman" w:hAnsi="Times New Roman" w:eastAsia="仿宋_GB2312" w:cs="Times New Roman"/>
                <w:color w:val="auto"/>
                <w:sz w:val="16"/>
                <w:szCs w:val="16"/>
                <w:lang w:val="en"/>
              </w:rPr>
              <w:t>)</w:t>
            </w:r>
            <w:r>
              <w:rPr>
                <w:rFonts w:hint="default" w:ascii="Times New Roman" w:hAnsi="Times New Roman" w:eastAsia="仿宋_GB2312" w:cs="Times New Roman"/>
                <w:color w:val="auto"/>
                <w:sz w:val="16"/>
                <w:szCs w:val="16"/>
              </w:rPr>
              <w:t>《自治区党委办公厅、自治区人民政府办公厅关于进一步减轻义务教育阶段学生作业负担和校外培训负担的实施方案》（宁党办发〔2021〕79号）</w:t>
            </w:r>
          </w:p>
        </w:tc>
        <w:tc>
          <w:tcPr>
            <w:tcW w:w="974" w:type="dxa"/>
            <w:noWrap w:val="0"/>
            <w:tcMar>
              <w:top w:w="12" w:type="dxa"/>
              <w:left w:w="12" w:type="dxa"/>
              <w:right w:w="12" w:type="dxa"/>
            </w:tcMar>
            <w:vAlign w:val="center"/>
          </w:tcPr>
          <w:p w14:paraId="59D0F510">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lang w:val="en-US" w:eastAsia="zh-CN"/>
              </w:rPr>
            </w:pPr>
            <w:r>
              <w:rPr>
                <w:rFonts w:hint="eastAsia" w:eastAsia="仿宋_GB2312" w:cs="Times New Roman"/>
                <w:color w:val="auto"/>
                <w:sz w:val="16"/>
                <w:szCs w:val="16"/>
                <w:lang w:val="en-US" w:eastAsia="zh-CN"/>
              </w:rPr>
              <w:t>100%</w:t>
            </w:r>
          </w:p>
        </w:tc>
        <w:tc>
          <w:tcPr>
            <w:tcW w:w="974" w:type="dxa"/>
            <w:noWrap w:val="0"/>
            <w:tcMar>
              <w:top w:w="12" w:type="dxa"/>
              <w:left w:w="12" w:type="dxa"/>
              <w:right w:w="12" w:type="dxa"/>
            </w:tcMar>
            <w:vAlign w:val="center"/>
          </w:tcPr>
          <w:p w14:paraId="3F8568A7">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eastAsia="仿宋_GB2312" w:cs="Times New Roman"/>
                <w:color w:val="auto"/>
                <w:sz w:val="16"/>
                <w:szCs w:val="16"/>
                <w:lang w:val="en-US" w:eastAsia="zh-CN"/>
              </w:rPr>
            </w:pPr>
            <w:r>
              <w:rPr>
                <w:rFonts w:hint="eastAsia" w:eastAsia="仿宋_GB2312" w:cs="Times New Roman"/>
                <w:color w:val="auto"/>
                <w:sz w:val="16"/>
                <w:szCs w:val="16"/>
                <w:lang w:val="en-US" w:eastAsia="zh-CN"/>
              </w:rPr>
              <w:t>2025年11月</w:t>
            </w:r>
          </w:p>
        </w:tc>
      </w:tr>
      <w:tr w14:paraId="523F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33" w:type="dxa"/>
            <w:vMerge w:val="restart"/>
            <w:noWrap w:val="0"/>
            <w:tcMar>
              <w:top w:w="12" w:type="dxa"/>
              <w:left w:w="12" w:type="dxa"/>
              <w:right w:w="12" w:type="dxa"/>
            </w:tcMar>
            <w:vAlign w:val="center"/>
          </w:tcPr>
          <w:p w14:paraId="004F78B7">
            <w:pPr>
              <w:keepNext w:val="0"/>
              <w:keepLines w:val="0"/>
              <w:pageBreakBefore w:val="0"/>
              <w:widowControl/>
              <w:kinsoku/>
              <w:wordWrap/>
              <w:overflowPunct/>
              <w:topLinePunct w:val="0"/>
              <w:autoSpaceDE/>
              <w:autoSpaceDN/>
              <w:bidi w:val="0"/>
              <w:adjustRightInd/>
              <w:spacing w:line="180" w:lineRule="exact"/>
              <w:jc w:val="center"/>
              <w:textAlignment w:val="center"/>
              <w:rPr>
                <w:rFonts w:hint="eastAsia" w:ascii="Times New Roman" w:hAnsi="Times New Roman" w:eastAsia="仿宋_GB2312" w:cs="Times New Roman"/>
                <w:color w:val="000000"/>
                <w:kern w:val="0"/>
                <w:sz w:val="16"/>
                <w:szCs w:val="16"/>
                <w:lang w:val="en-US" w:eastAsia="zh-CN" w:bidi="ar"/>
              </w:rPr>
            </w:pPr>
            <w:r>
              <w:rPr>
                <w:rFonts w:hint="eastAsia" w:eastAsia="仿宋_GB2312" w:cs="Times New Roman"/>
                <w:color w:val="000000"/>
                <w:kern w:val="0"/>
                <w:sz w:val="16"/>
                <w:szCs w:val="16"/>
                <w:lang w:val="en-US" w:eastAsia="zh-CN" w:bidi="ar"/>
              </w:rPr>
              <w:t>2</w:t>
            </w:r>
          </w:p>
        </w:tc>
        <w:tc>
          <w:tcPr>
            <w:tcW w:w="1364" w:type="dxa"/>
            <w:vMerge w:val="restart"/>
            <w:noWrap w:val="0"/>
            <w:tcMar>
              <w:top w:w="12" w:type="dxa"/>
              <w:left w:w="12" w:type="dxa"/>
              <w:right w:w="12" w:type="dxa"/>
            </w:tcMar>
            <w:vAlign w:val="center"/>
          </w:tcPr>
          <w:p w14:paraId="3CE2E6DD">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default" w:ascii="Times New Roman" w:hAnsi="Times New Roman" w:eastAsia="仿宋_GB2312" w:cs="Times New Roman"/>
                <w:i w:val="0"/>
                <w:color w:val="000000"/>
                <w:kern w:val="0"/>
                <w:sz w:val="16"/>
                <w:szCs w:val="16"/>
                <w:u w:val="none"/>
                <w:lang w:val="en-US" w:eastAsia="zh-CN" w:bidi="ar"/>
              </w:rPr>
              <w:t>学校办学情况抽查</w:t>
            </w:r>
          </w:p>
          <w:p w14:paraId="2DE9DA3B">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color w:val="000000"/>
                <w:kern w:val="0"/>
                <w:sz w:val="16"/>
                <w:szCs w:val="16"/>
                <w:lang w:bidi="ar"/>
              </w:rPr>
            </w:pPr>
          </w:p>
        </w:tc>
        <w:tc>
          <w:tcPr>
            <w:tcW w:w="1584" w:type="dxa"/>
            <w:noWrap w:val="0"/>
            <w:tcMar>
              <w:top w:w="12" w:type="dxa"/>
              <w:left w:w="12" w:type="dxa"/>
              <w:right w:w="12" w:type="dxa"/>
            </w:tcMar>
            <w:vAlign w:val="center"/>
          </w:tcPr>
          <w:p w14:paraId="7CB55045">
            <w:pPr>
              <w:keepNext w:val="0"/>
              <w:keepLines w:val="0"/>
              <w:pageBreakBefore w:val="0"/>
              <w:widowControl/>
              <w:kinsoku/>
              <w:wordWrap/>
              <w:overflowPunct/>
              <w:topLinePunct w:val="0"/>
              <w:autoSpaceDE/>
              <w:autoSpaceDN/>
              <w:bidi w:val="0"/>
              <w:adjustRightInd/>
              <w:spacing w:line="180" w:lineRule="exact"/>
              <w:jc w:val="both"/>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i w:val="0"/>
                <w:color w:val="000000"/>
                <w:kern w:val="0"/>
                <w:sz w:val="16"/>
                <w:szCs w:val="16"/>
                <w:u w:val="none"/>
                <w:lang w:val="en-US" w:eastAsia="zh-CN" w:bidi="ar"/>
              </w:rPr>
              <w:t>中小学（幼儿园）教育装备配备管理情况（含图书、教学仪器设备、电子产品、校服、床上用品等）检查</w:t>
            </w:r>
          </w:p>
        </w:tc>
        <w:tc>
          <w:tcPr>
            <w:tcW w:w="1178" w:type="dxa"/>
            <w:noWrap w:val="0"/>
            <w:tcMar>
              <w:top w:w="12" w:type="dxa"/>
              <w:left w:w="12" w:type="dxa"/>
              <w:right w:w="12" w:type="dxa"/>
            </w:tcMar>
            <w:vAlign w:val="center"/>
          </w:tcPr>
          <w:p w14:paraId="457006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i w:val="0"/>
                <w:color w:val="000000"/>
                <w:kern w:val="0"/>
                <w:sz w:val="16"/>
                <w:szCs w:val="16"/>
                <w:u w:val="none"/>
                <w:lang w:val="en-US" w:eastAsia="zh-CN" w:bidi="ar"/>
              </w:rPr>
              <w:t>各类学校</w:t>
            </w:r>
          </w:p>
        </w:tc>
        <w:tc>
          <w:tcPr>
            <w:tcW w:w="1104" w:type="dxa"/>
            <w:noWrap w:val="0"/>
            <w:tcMar>
              <w:top w:w="12" w:type="dxa"/>
              <w:left w:w="12" w:type="dxa"/>
              <w:right w:w="12" w:type="dxa"/>
            </w:tcMar>
            <w:vAlign w:val="center"/>
          </w:tcPr>
          <w:p w14:paraId="7F606773">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一般检查事项</w:t>
            </w:r>
          </w:p>
        </w:tc>
        <w:tc>
          <w:tcPr>
            <w:tcW w:w="1474" w:type="dxa"/>
            <w:noWrap w:val="0"/>
            <w:tcMar>
              <w:top w:w="12" w:type="dxa"/>
              <w:left w:w="12" w:type="dxa"/>
              <w:right w:w="12" w:type="dxa"/>
            </w:tcMar>
            <w:vAlign w:val="center"/>
          </w:tcPr>
          <w:p w14:paraId="1C6A838B">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现场检查</w:t>
            </w:r>
          </w:p>
        </w:tc>
        <w:tc>
          <w:tcPr>
            <w:tcW w:w="1236" w:type="dxa"/>
            <w:noWrap w:val="0"/>
            <w:tcMar>
              <w:top w:w="12" w:type="dxa"/>
              <w:left w:w="12" w:type="dxa"/>
              <w:right w:w="12" w:type="dxa"/>
            </w:tcMar>
            <w:vAlign w:val="center"/>
          </w:tcPr>
          <w:p w14:paraId="03A6ED24">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000000"/>
                <w:kern w:val="0"/>
                <w:sz w:val="16"/>
                <w:szCs w:val="16"/>
                <w:lang w:val="en-US" w:bidi="ar"/>
              </w:rPr>
            </w:pPr>
            <w:r>
              <w:rPr>
                <w:rFonts w:hint="eastAsia" w:eastAsia="仿宋_GB2312" w:cs="Times New Roman"/>
                <w:color w:val="auto"/>
                <w:sz w:val="16"/>
                <w:szCs w:val="16"/>
                <w:lang w:val="en-US" w:eastAsia="zh-CN"/>
              </w:rPr>
              <w:t>区教育局</w:t>
            </w:r>
          </w:p>
        </w:tc>
        <w:tc>
          <w:tcPr>
            <w:tcW w:w="4248" w:type="dxa"/>
            <w:noWrap w:val="0"/>
            <w:tcMar>
              <w:top w:w="12" w:type="dxa"/>
              <w:left w:w="12" w:type="dxa"/>
              <w:right w:w="12" w:type="dxa"/>
            </w:tcMar>
            <w:vAlign w:val="center"/>
          </w:tcPr>
          <w:p w14:paraId="169D1684">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auto"/>
                <w:sz w:val="16"/>
                <w:szCs w:val="16"/>
              </w:rPr>
              <w:t>《教育部关于新形势下进一步做好普通中小学装备工作的意见》（教基一〔2016〕3号）</w:t>
            </w:r>
            <w:r>
              <w:rPr>
                <w:rFonts w:hint="default" w:ascii="Times New Roman" w:hAnsi="Times New Roman" w:eastAsia="仿宋_GB2312" w:cs="Times New Roman"/>
                <w:color w:val="auto"/>
                <w:sz w:val="16"/>
                <w:szCs w:val="16"/>
                <w:lang w:eastAsia="zh-CN"/>
              </w:rPr>
              <w:t>《宁夏回族自治区幼儿园办园条件基本标准》《宁夏回族自治区小学教育技术装备标准》《宁夏回族自治区初级中学教育技术装备标准》</w:t>
            </w:r>
          </w:p>
        </w:tc>
        <w:tc>
          <w:tcPr>
            <w:tcW w:w="974" w:type="dxa"/>
            <w:noWrap w:val="0"/>
            <w:tcMar>
              <w:top w:w="12" w:type="dxa"/>
              <w:left w:w="12" w:type="dxa"/>
              <w:right w:w="12" w:type="dxa"/>
            </w:tcMar>
            <w:vAlign w:val="center"/>
          </w:tcPr>
          <w:p w14:paraId="2C728AFA">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rPr>
            </w:pPr>
            <w:r>
              <w:rPr>
                <w:rFonts w:hint="eastAsia" w:eastAsia="仿宋_GB2312" w:cs="Times New Roman"/>
                <w:color w:val="auto"/>
                <w:sz w:val="16"/>
                <w:szCs w:val="16"/>
                <w:lang w:val="en-US" w:eastAsia="zh-CN"/>
              </w:rPr>
              <w:t>5%</w:t>
            </w:r>
          </w:p>
        </w:tc>
        <w:tc>
          <w:tcPr>
            <w:tcW w:w="974" w:type="dxa"/>
            <w:noWrap w:val="0"/>
            <w:tcMar>
              <w:top w:w="12" w:type="dxa"/>
              <w:left w:w="12" w:type="dxa"/>
              <w:right w:w="12" w:type="dxa"/>
            </w:tcMar>
            <w:vAlign w:val="center"/>
          </w:tcPr>
          <w:p w14:paraId="6E3B563F">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eastAsia="仿宋_GB2312" w:cs="Times New Roman"/>
                <w:color w:val="auto"/>
                <w:sz w:val="16"/>
                <w:szCs w:val="16"/>
                <w:lang w:val="en-US" w:eastAsia="zh-CN"/>
              </w:rPr>
            </w:pPr>
            <w:r>
              <w:rPr>
                <w:rFonts w:hint="eastAsia" w:eastAsia="仿宋_GB2312" w:cs="Times New Roman"/>
                <w:color w:val="auto"/>
                <w:sz w:val="16"/>
                <w:szCs w:val="16"/>
                <w:lang w:val="en-US" w:eastAsia="zh-CN"/>
              </w:rPr>
              <w:t>2025年11月</w:t>
            </w:r>
          </w:p>
        </w:tc>
      </w:tr>
      <w:tr w14:paraId="1DD6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33" w:type="dxa"/>
            <w:vMerge w:val="continue"/>
            <w:noWrap w:val="0"/>
            <w:tcMar>
              <w:top w:w="12" w:type="dxa"/>
              <w:left w:w="12" w:type="dxa"/>
              <w:right w:w="12" w:type="dxa"/>
            </w:tcMar>
            <w:vAlign w:val="center"/>
          </w:tcPr>
          <w:p w14:paraId="5D1619AB">
            <w:pPr>
              <w:keepNext w:val="0"/>
              <w:keepLines w:val="0"/>
              <w:pageBreakBefore w:val="0"/>
              <w:widowControl/>
              <w:kinsoku/>
              <w:wordWrap/>
              <w:overflowPunct/>
              <w:topLinePunct w:val="0"/>
              <w:autoSpaceDE/>
              <w:autoSpaceDN/>
              <w:bidi w:val="0"/>
              <w:adjustRightInd/>
              <w:spacing w:line="180" w:lineRule="exact"/>
              <w:jc w:val="center"/>
              <w:textAlignment w:val="center"/>
              <w:rPr>
                <w:rFonts w:hint="eastAsia" w:eastAsia="仿宋_GB2312" w:cs="Times New Roman"/>
                <w:color w:val="000000"/>
                <w:kern w:val="0"/>
                <w:sz w:val="16"/>
                <w:szCs w:val="16"/>
                <w:lang w:val="en-US" w:eastAsia="zh-CN" w:bidi="ar"/>
              </w:rPr>
            </w:pPr>
          </w:p>
        </w:tc>
        <w:tc>
          <w:tcPr>
            <w:tcW w:w="1364" w:type="dxa"/>
            <w:vMerge w:val="continue"/>
            <w:noWrap w:val="0"/>
            <w:tcMar>
              <w:top w:w="12" w:type="dxa"/>
              <w:left w:w="12" w:type="dxa"/>
              <w:right w:w="12" w:type="dxa"/>
            </w:tcMar>
            <w:vAlign w:val="center"/>
          </w:tcPr>
          <w:p w14:paraId="37091F34">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color w:val="000000"/>
                <w:kern w:val="0"/>
                <w:sz w:val="16"/>
                <w:szCs w:val="16"/>
                <w:lang w:bidi="ar"/>
              </w:rPr>
            </w:pPr>
          </w:p>
        </w:tc>
        <w:tc>
          <w:tcPr>
            <w:tcW w:w="1584" w:type="dxa"/>
            <w:noWrap w:val="0"/>
            <w:tcMar>
              <w:top w:w="12" w:type="dxa"/>
              <w:left w:w="12" w:type="dxa"/>
              <w:right w:w="12" w:type="dxa"/>
            </w:tcMar>
            <w:vAlign w:val="center"/>
          </w:tcPr>
          <w:p w14:paraId="5A563F70">
            <w:pPr>
              <w:keepNext w:val="0"/>
              <w:keepLines w:val="0"/>
              <w:pageBreakBefore w:val="0"/>
              <w:widowControl/>
              <w:kinsoku/>
              <w:wordWrap/>
              <w:overflowPunct/>
              <w:topLinePunct w:val="0"/>
              <w:autoSpaceDE/>
              <w:autoSpaceDN/>
              <w:bidi w:val="0"/>
              <w:adjustRightInd/>
              <w:spacing w:line="180" w:lineRule="exact"/>
              <w:jc w:val="both"/>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default" w:ascii="Times New Roman" w:hAnsi="Times New Roman" w:eastAsia="仿宋_GB2312" w:cs="Times New Roman"/>
                <w:i w:val="0"/>
                <w:color w:val="000000"/>
                <w:kern w:val="0"/>
                <w:sz w:val="16"/>
                <w:szCs w:val="16"/>
                <w:u w:val="none"/>
                <w:lang w:val="en-US" w:eastAsia="zh-CN" w:bidi="ar"/>
              </w:rPr>
              <w:t>学校食堂食品安全情况的检查</w:t>
            </w:r>
          </w:p>
        </w:tc>
        <w:tc>
          <w:tcPr>
            <w:tcW w:w="1178" w:type="dxa"/>
            <w:noWrap w:val="0"/>
            <w:tcMar>
              <w:top w:w="12" w:type="dxa"/>
              <w:left w:w="12" w:type="dxa"/>
              <w:right w:w="12" w:type="dxa"/>
            </w:tcMar>
            <w:vAlign w:val="center"/>
          </w:tcPr>
          <w:p w14:paraId="64654A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default" w:ascii="Times New Roman" w:hAnsi="Times New Roman" w:eastAsia="仿宋_GB2312" w:cs="Times New Roman"/>
                <w:i w:val="0"/>
                <w:color w:val="000000"/>
                <w:kern w:val="0"/>
                <w:sz w:val="16"/>
                <w:szCs w:val="16"/>
                <w:u w:val="none"/>
                <w:lang w:val="en-US" w:eastAsia="zh-CN" w:bidi="ar"/>
              </w:rPr>
              <w:t>各类学校</w:t>
            </w:r>
          </w:p>
        </w:tc>
        <w:tc>
          <w:tcPr>
            <w:tcW w:w="1104" w:type="dxa"/>
            <w:noWrap w:val="0"/>
            <w:tcMar>
              <w:top w:w="12" w:type="dxa"/>
              <w:left w:w="12" w:type="dxa"/>
              <w:right w:w="12" w:type="dxa"/>
            </w:tcMar>
            <w:vAlign w:val="center"/>
          </w:tcPr>
          <w:p w14:paraId="4F64D003">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仿宋_GB2312" w:cs="Times New Roman"/>
                <w:color w:val="auto"/>
                <w:sz w:val="16"/>
                <w:szCs w:val="16"/>
              </w:rPr>
              <w:t>一般检查事项</w:t>
            </w:r>
          </w:p>
        </w:tc>
        <w:tc>
          <w:tcPr>
            <w:tcW w:w="1474" w:type="dxa"/>
            <w:noWrap w:val="0"/>
            <w:tcMar>
              <w:top w:w="12" w:type="dxa"/>
              <w:left w:w="12" w:type="dxa"/>
              <w:right w:w="12" w:type="dxa"/>
            </w:tcMar>
            <w:vAlign w:val="center"/>
          </w:tcPr>
          <w:p w14:paraId="5910AAAB">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仿宋_GB2312" w:cs="Times New Roman"/>
                <w:color w:val="auto"/>
                <w:sz w:val="16"/>
                <w:szCs w:val="16"/>
              </w:rPr>
              <w:t>现场检查</w:t>
            </w:r>
          </w:p>
        </w:tc>
        <w:tc>
          <w:tcPr>
            <w:tcW w:w="1236" w:type="dxa"/>
            <w:noWrap w:val="0"/>
            <w:tcMar>
              <w:top w:w="12" w:type="dxa"/>
              <w:left w:w="12" w:type="dxa"/>
              <w:right w:w="12" w:type="dxa"/>
            </w:tcMar>
            <w:vAlign w:val="center"/>
          </w:tcPr>
          <w:p w14:paraId="2E5A669A">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eastAsia" w:eastAsia="仿宋_GB2312" w:cs="Times New Roman"/>
                <w:color w:val="auto"/>
                <w:sz w:val="16"/>
                <w:szCs w:val="16"/>
                <w:lang w:val="en-US" w:eastAsia="zh-CN"/>
              </w:rPr>
            </w:pPr>
            <w:r>
              <w:rPr>
                <w:rFonts w:hint="eastAsia" w:eastAsia="仿宋_GB2312" w:cs="Times New Roman"/>
                <w:color w:val="auto"/>
                <w:sz w:val="16"/>
                <w:szCs w:val="16"/>
                <w:lang w:val="en-US" w:eastAsia="zh-CN"/>
              </w:rPr>
              <w:t>区教育局</w:t>
            </w:r>
          </w:p>
        </w:tc>
        <w:tc>
          <w:tcPr>
            <w:tcW w:w="4248" w:type="dxa"/>
            <w:noWrap w:val="0"/>
            <w:tcMar>
              <w:top w:w="12" w:type="dxa"/>
              <w:left w:w="12" w:type="dxa"/>
              <w:right w:w="12" w:type="dxa"/>
            </w:tcMar>
            <w:vAlign w:val="center"/>
          </w:tcPr>
          <w:p w14:paraId="29E37749">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default" w:ascii="Times New Roman" w:hAnsi="Times New Roman" w:eastAsia="仿宋_GB2312" w:cs="Times New Roman"/>
                <w:color w:val="auto"/>
                <w:sz w:val="16"/>
                <w:szCs w:val="16"/>
              </w:rPr>
            </w:pPr>
            <w:r>
              <w:rPr>
                <w:rFonts w:hint="default" w:ascii="Times New Roman" w:hAnsi="Times New Roman" w:eastAsia="仿宋_GB2312" w:cs="Times New Roman"/>
                <w:color w:val="auto"/>
                <w:sz w:val="16"/>
                <w:szCs w:val="16"/>
              </w:rPr>
              <w:t xml:space="preserve">《自治区党委 </w:t>
            </w:r>
            <w:r>
              <w:rPr>
                <w:rFonts w:hint="eastAsia" w:eastAsia="仿宋_GB2312" w:cs="Times New Roman"/>
                <w:color w:val="auto"/>
                <w:sz w:val="16"/>
                <w:szCs w:val="16"/>
                <w:lang w:eastAsia="zh-CN"/>
              </w:rPr>
              <w:t>人民政府</w:t>
            </w:r>
            <w:r>
              <w:rPr>
                <w:rFonts w:hint="default" w:ascii="Times New Roman" w:hAnsi="Times New Roman" w:eastAsia="仿宋_GB2312" w:cs="Times New Roman"/>
                <w:color w:val="auto"/>
                <w:sz w:val="16"/>
                <w:szCs w:val="16"/>
              </w:rPr>
              <w:t>关于深化改革食品安全工作的实施意见》（宁党发〔2020〕4号），《自治区市场监管厅四部门关于印发宁夏校园食品安全守护行动（2020-2022年）的通知》（宁市监发〔2020〕72号</w:t>
            </w:r>
            <w:bookmarkStart w:id="0" w:name="_GoBack"/>
            <w:bookmarkEnd w:id="0"/>
            <w:r>
              <w:rPr>
                <w:rFonts w:hint="default" w:ascii="Times New Roman" w:hAnsi="Times New Roman" w:eastAsia="仿宋_GB2312" w:cs="Times New Roman"/>
                <w:color w:val="auto"/>
                <w:sz w:val="16"/>
                <w:szCs w:val="16"/>
              </w:rPr>
              <w:t>）《自治区教育厅等六部门关于印发&lt;关于进一步加强学校食堂管理提高服务保障能力的通知》（宁教发〔2020〕124号）教育部 国家市场监督管理局 卫生健康委 《学校食品安全与营养健康管理规定》（教育部令第45号）</w:t>
            </w:r>
          </w:p>
        </w:tc>
        <w:tc>
          <w:tcPr>
            <w:tcW w:w="974" w:type="dxa"/>
            <w:noWrap w:val="0"/>
            <w:tcMar>
              <w:top w:w="12" w:type="dxa"/>
              <w:left w:w="12" w:type="dxa"/>
              <w:right w:w="12" w:type="dxa"/>
            </w:tcMar>
            <w:vAlign w:val="center"/>
          </w:tcPr>
          <w:p w14:paraId="36A46F04">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eastAsia" w:eastAsia="仿宋_GB2312" w:cs="Times New Roman"/>
                <w:color w:val="auto"/>
                <w:sz w:val="16"/>
                <w:szCs w:val="16"/>
                <w:lang w:val="en-US" w:eastAsia="zh-CN"/>
              </w:rPr>
            </w:pPr>
            <w:r>
              <w:rPr>
                <w:rFonts w:hint="eastAsia" w:eastAsia="仿宋_GB2312" w:cs="Times New Roman"/>
                <w:color w:val="auto"/>
                <w:sz w:val="16"/>
                <w:szCs w:val="16"/>
                <w:lang w:val="en-US" w:eastAsia="zh-CN"/>
              </w:rPr>
              <w:t>100%</w:t>
            </w:r>
          </w:p>
        </w:tc>
        <w:tc>
          <w:tcPr>
            <w:tcW w:w="974" w:type="dxa"/>
            <w:noWrap w:val="0"/>
            <w:tcMar>
              <w:top w:w="12" w:type="dxa"/>
              <w:left w:w="12" w:type="dxa"/>
              <w:right w:w="12" w:type="dxa"/>
            </w:tcMar>
            <w:vAlign w:val="center"/>
          </w:tcPr>
          <w:p w14:paraId="5A910277">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eastAsia" w:eastAsia="仿宋_GB2312" w:cs="Times New Roman"/>
                <w:color w:val="auto"/>
                <w:sz w:val="16"/>
                <w:szCs w:val="16"/>
                <w:lang w:val="en-US" w:eastAsia="zh-CN"/>
              </w:rPr>
            </w:pPr>
            <w:r>
              <w:rPr>
                <w:rFonts w:hint="eastAsia" w:eastAsia="仿宋_GB2312" w:cs="Times New Roman"/>
                <w:color w:val="auto"/>
                <w:sz w:val="16"/>
                <w:szCs w:val="16"/>
                <w:lang w:val="en-US" w:eastAsia="zh-CN"/>
              </w:rPr>
              <w:t>2025年11月</w:t>
            </w:r>
          </w:p>
        </w:tc>
      </w:tr>
    </w:tbl>
    <w:p w14:paraId="1CABE395">
      <w:pPr>
        <w:bidi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2U0ZGIxMGFiNzg0OWM1YzBhNTdhOTE1MDJlYTAifQ=="/>
  </w:docVars>
  <w:rsids>
    <w:rsidRoot w:val="615E4406"/>
    <w:rsid w:val="114F1D45"/>
    <w:rsid w:val="2291450D"/>
    <w:rsid w:val="48D26349"/>
    <w:rsid w:val="615E4406"/>
    <w:rsid w:val="6B7D7373"/>
    <w:rsid w:val="6CEC16D6"/>
    <w:rsid w:val="6F5B7427"/>
    <w:rsid w:val="7852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730</Characters>
  <Lines>0</Lines>
  <Paragraphs>0</Paragraphs>
  <TotalTime>9</TotalTime>
  <ScaleCrop>false</ScaleCrop>
  <LinksUpToDate>false</LinksUpToDate>
  <CharactersWithSpaces>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2024-05-07T09:05:00Z</dcterms:created>
  <dc:creator>WPS_1591097323</dc:creator>
  <cp:lastModifiedBy>XIn阳</cp:lastModifiedBy>
  <dcterms:modified xsi:type="dcterms:W3CDTF">2025-06-19T10:17:21Z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7D682A73DBAD4C7BA2EFDDA518378821_11</vt:lpwstr>
  </property>
  <property fmtid="{D5CDD505-2E9C-101B-9397-08002B2CF9AE}" pid="4" name="KSOTemplateDocerSaveRecord">
    <vt:lpwstr>eyJoZGlkIjoiNjgyODBiZjQwMWYxNDQxOTZlYTc3NTFlMTQxODk1N2UiLCJ1c2VySWQiOiIzNDgyNzg5NDkifQ==</vt:lpwstr>
  </property>
</Properties>
</file>